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UE230069 vom 7. Dezember 2023</w:t>
      </w:r>
    </w:p>
    <w:p>
      <w:r>
        <w:t>ZH Obergericht, 2023-12-07, DE</w:t>
      </w:r>
    </w:p>
    <w:p>
      <w:r>
        <w:rPr>
          <w:b/>
        </w:rPr>
        <w:t xml:space="preserve">Quelle: </w:t>
      </w:r>
      <w:r>
        <w:t>https://mcp.opencaselaw.ch/entscheid/zh_obergericht_UE230069</w:t>
      </w:r>
    </w:p>
    <w:p>
      <w:r>
        <w:t>FR: ZH_OBERGERICHT UE230069 du 7 décembre 2023</w:t>
      </w:r>
    </w:p>
    <w:p>
      <w:r>
        <w:t>IT: ZH_OBERGERICHT UE230069 del 7 dicembre 2023</w:t>
      </w:r>
    </w:p>
    <w:p>
      <w:pPr>
        <w:pStyle w:val="Heading2"/>
      </w:pPr>
      <w:r>
        <w:t>Erwägungen</w:t>
      </w:r>
    </w:p>
    <w:p>
      <w:r>
        <w:rPr>
          <w:b/>
        </w:rPr>
        <w:t>E. 1</w:t>
      </w:r>
    </w:p>
    <w:p>
      <w:r>
        <w:t>Am 15. August 2022 rapportierte die Kantonspolizei Zürich (nachfolgend: Kan- tonspolizei) wegen eines Verkehrsunfalls in D._____ zwischen dem Personenwa- gen von C._____ (nachfolgend: Beschwerdegegner 1) und A._____ auf seinem Motorfahrrad (nachfolgend: Beschwerdeführer; Urk. 12/1). Mit Verfügung vom 27. Februar 2023 stellte die Staatsanwaltschaft Zürich – Limmat das Verfahren gegen den Beschwerdeführer sowie den Beschwerdegegner 1 ein (Urk. 3/1).</w:t>
      </w:r>
    </w:p>
    <w:p>
      <w:r>
        <w:rPr>
          <w:b/>
        </w:rPr>
        <w:t>E. 2</w:t>
      </w:r>
    </w:p>
    <w:p>
      <w:r>
        <w:t>Unter Kosten- und Entschädigungsfolgen (inkl. MWST) zulasten der Staatskasse."</w:t>
      </w:r>
    </w:p>
    <w:p>
      <w:r>
        <w:rPr>
          <w:b/>
        </w:rPr>
        <w:t>E. 3</w:t>
      </w:r>
    </w:p>
    <w:p>
      <w:r>
        <w:t>Demgegenüber lässt der Beschwerdeführer vorbringen, es liege ausserhalb der fachlichen Kompetenz der Staatsanwaltschaft, durch die Sichtung der polizeili- chen Fotodokumentation rechtsgenügend festzustellen, ob der Beschwerdegeg- ner 1 mit überhöhter Geschwindigkeit gefahren sei oder nicht. Hierfür benötige es zwingend ein verkehrstechnisches Gutachten, welches eine Spurenanalyse vor- nehme, und insbesondere auch die Vermeidbarkeit der Kollision berechne, indem geprüft werde, ob der Beschwerdegegner 1 mit übersetzter Geschwindigkeit ge- fahren sei oder allenfalls zu spät reagiert habe. Die Erstellung eines solchen Gut- achtens sei insbesondere angezeigt, zumal der Beschwerdeführer aufgrund der erlittenen schweren Körperverletzungen nicht einvernahmefähig sei und sich so- mit zum Unfallvorgang gar nie habe äussern können (Urk. 2 S. 4ff.).</w:t>
      </w:r>
    </w:p>
    <w:p>
      <w:r>
        <w:rPr>
          <w:b/>
        </w:rPr>
        <w:t>E. 4</w:t>
      </w:r>
    </w:p>
    <w:p>
      <w:r>
        <w:t>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Nach Beendigung des Untersuchungsverfahrens entscheidet die Staatsanwaltschaft, ob ein Strafbefehl zu erlassen, Anklage zu erheben oder das Verfahren einzustellen ist (Art. 318 StPO). Eine vollständige oder teilweise Einstellung erfolgt nach Art. 319 Abs. 1 StPO u. a., wenn sich ein Tatverdacht nicht in einem Mass erhärten lässt, der eine Anklage rechtfertigt (lit. a). Eine Anklage ist in der Regel nur dann zu erheben, wenn genügend An- haltspunkte vorliegen, welche es rechtfertigen, das Verfahren weiterzuführen, und die Staatsanwaltschaft die Tatbeteiligung sowie eine Strafe bzw. Massnahme im Zeitpunkt der Anklageerhebung für wahrscheinlich hält. Keine Anklage ist zu er-</w:t>
      </w:r>
    </w:p>
    <w:p>
      <w:r>
        <w:t>- 5 - heben, wenn mit Sicherheit oder grosser Wahrscheinlichkeit mit einem Freispruch zu rechnen ist. Sinn und Zweck von Art. 319 StPO ist es, die beschuldigte Person vor Anklagen zu schützen, die mit einiger Sicherheit zu Freisprüchen führen müssten (BGE 138 IV 186 E. 4.1; Urteil des Bundesgerichts 1B_184/2012 vom 27. August 2012 E. 3.3).</w:t>
      </w:r>
    </w:p>
    <w:p>
      <w:r>
        <w:rPr>
          <w:b/>
        </w:rPr>
        <w:t>E. 5.1</w:t>
      </w:r>
    </w:p>
    <w:p>
      <w:r>
        <w:t>Wenn der Beschwerdeführer ausführen lässt (Urk. 2 S. 6), die Staatsanwalt- schaft hätte ein verkehrstechnisches Gutachten zur Ermittlung der Geschwindig- keit des Beschwerdegegners 1 im Unfallzeitpunkt in Auftrag geben müssen, so kann ihm nicht gefolgt werden. Dies, zumal vorliegend nicht erkennbar ist, worauf die Annahme, der Beschwerdegegner 1 könnte mit einer überhöhten Geschwin- digkeit gefahren sein, beruht. So sagte der Beschwerdegegner 1 aus, er sei zwi- schen 55 und 57 km/h gefahren, weil kurz nach der Unfallstelle ein Kreisverkehr komme, wo man ohnehin bremsen müsse. Schnell könne man an dieser Stelle jedenfalls nicht fahren. Der Beschwerdeführer sei ihm dabei auf seinem Mofa ent- gegengekommen und habe links abbiegen wollen. Das Mofa habe über keinen Blinker verfügt und er habe auch kein Handzeichen des Beschwerdeführers wahrgenommen. Als der Beschwerdeführer auf seine Strassenseite gekommen sei, habe er sofort reagiert, indem er gebremst habe und nach rechts ausgewi- chen sei. Wäre er nicht ausgewichen, hätte er den Beschwerdeführer wohl frontal getroffen (Urk. 12/3 F/A 7ff.). Diese Aussagen des Beschwerdegegners 1 werden von den Aussagen der Aus- kunftsperson F._____ im Wesentlichen gestützt, wobei dieser die Geschwindig- keit des Beschwerdegegners 1 zwar nicht zu beurteilen vermochte, aber keine Anzeichen für eine überhöhte Geschwindigkeit desselben anführte (Urk. 12/4 F/- A 3ff.). Auch aus dem Rapport der Kantonspolizei bzw. der durch sie erstellten Fotodo- kumentation lassen sich keine Hinweise auf eine überhöhte Geschwindigkeit des Beschwerdegegners 1 entnehmen (Urk. 12/1; Urk. 12/2). Vielmehr sind die Aus- sagen des Beschwerdegegners 1 anhand der Fotodokumentation nachvollziehbar</w:t>
      </w:r>
    </w:p>
    <w:p>
      <w:r>
        <w:t>- 6 - – ohne dass hierfür vertieftes Fachwissen benötigt würde. Vor diesem Hinter- grund handelt es sich bei der vom Beschwerdeführer aufgeworfenen Frage nach einer allfälligen überhöhten Geschwindigkeit des Beschwerdegegners 1 um eine blosse Spekulation. Dies bildet keine genügende Veranlassung, um zur Fahrge- schwindigkeit des Beschwerdegegners 1 ein verkehrstechnisches Gutachten ein- zuholen. Eine Behörde kann auf die Abnahme beantragter Beweise namentlich dann verzichten, wenn sie aufgrund der bereits abgenommenen Beweise ihre Überzeugung gebildet hat und ohne Willkür in vorweggenommener (antizipierter) Beweiswürdigung annehmen kann, dass ihre Überzeugung durch weitere Be- weiserhebungen nicht geändert würde (RIEDO/FIOLKA, in: Basler Kommentar, Schweizerische Strafprozessordnung, 3. Aufl. 2023, N 72 zu Art. 6 StPO). Vorlie- gend ist die Staatsanwaltschaft aufgrund der getätigten Ermittlungen im Rahmen ihres Ermessen willkürfrei und damit zu Recht zum Schluss gekommen, dass kei- ne Anzeichen für ein Fehlverhalten, insbesondere eine Geschwindigkeitsüber- schreitung , des Beschwerdegegners 1 vorliegen (Urk. 3/1 S. 2).</w:t>
      </w:r>
    </w:p>
    <w:p>
      <w:r>
        <w:rPr>
          <w:b/>
        </w:rPr>
        <w:t>E. 5.2</w:t>
      </w:r>
    </w:p>
    <w:p>
      <w:r>
        <w:t>Ohnehin erscheint fraglich, inwiefern ein verkehrstechnisches Gutachten Hinweise für ein strafrechtlich relevantes Fehlverhalten des Beschwerdegegners 1 geben könnte. Aufgrund der derzeitigen Ermittlungsergebnisse kann als erstellt gelten, dass der Beschwerdeführer kein Handzeichen zum Anzeigen des Links- abbiegens gab (Urk. 12/3 F/A 3; Urk. 12/4 F/A 7). An diesem Beweisergebnis würde ein verkehrstechnisches Gutachten nichts zu ändern vermögen. Damit ist das beantragte verkehrstechnische Gutachten auch insbesondere nicht dafür ge- eignet, die fehlende Möglichkeit einer Einvernahme des Beschwerdeführers in dieser Hinsicht auszugleichen (vgl. Urk. 2 S. 6).</w:t>
      </w:r>
    </w:p>
    <w:p>
      <w:r>
        <w:rPr>
          <w:b/>
        </w:rPr>
        <w:t>E. 5.3</w:t>
      </w:r>
    </w:p>
    <w:p>
      <w:r>
        <w:t>Zusammenfassend ist die Staatsanwaltschaft vorliegend zu Recht zum Schluss gekommen, dass keine Anzeichen für ein strafrechtlich relevantes Fehl- verhalten des Beschwerdegegners 1 in Bezug auf den Verkehrsunfall vom 11. Ju- ni 2022 vorliegen. Für die Erstellung des vom Beschwerdeführer beantragten ver- kehrstechnischen Gutachtens besteht damit keine Veranlassung, wobei ohnehin sehr unwahrscheinlich erscheint, dass ein solches Gutachten am Beweisergebnis etwas Massgebliches zu ändern vermöchte. Schlussfolgernd erfolgte die ange-</w:t>
      </w:r>
    </w:p>
    <w:p>
      <w:r>
        <w:t>- 7 - fochtene Einstellungsverfügung zu Recht und die Beschwerde ist damit abzuwei- 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