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UE220036 vom 22. März 2023</w:t>
      </w:r>
    </w:p>
    <w:p>
      <w:r>
        <w:t>ZH Obergericht, 2023-03-22, DE</w:t>
      </w:r>
    </w:p>
    <w:p>
      <w:r>
        <w:rPr>
          <w:b/>
        </w:rPr>
        <w:t xml:space="preserve">Quelle: </w:t>
      </w:r>
      <w:r>
        <w:t>https://mcp.opencaselaw.ch/entscheid/zh_obergericht_UE220036</w:t>
      </w:r>
    </w:p>
    <w:p>
      <w:r>
        <w:t>FR: ZH_OBERGERICHT UE220036 du 22 mars 2023</w:t>
      </w:r>
    </w:p>
    <w:p>
      <w:r>
        <w:t>IT: ZH_OBERGERICHT UE220036 del 22 marzo 2023</w:t>
      </w:r>
    </w:p>
    <w:p>
      <w:pPr>
        <w:pStyle w:val="Heading2"/>
      </w:pPr>
      <w:r>
        <w:t>Erwägungen</w:t>
      </w:r>
    </w:p>
    <w:p>
      <w:r>
        <w:rPr>
          <w:b/>
        </w:rPr>
        <w:t>E. 1</w:t>
      </w:r>
    </w:p>
    <w:p>
      <w:r>
        <w:t>Mit Eingabe vom 19. Januar 2022 (Urk. 9/1) erstattete die Stiftung A._____ im Namen des Geschädigten Dr. med. C._____ Strafanzeige gegen Dr. med. B._____, Facharzt für Rheumatologie FMH an der Klinik D._____, und allfällige weitere involvierte Personen des Zentrums für Rheumatologie an der Klinik D._____ (Urk. 9/1 S. 3 [4. Abschnitt] i.V.m. Urk. 9/2/15). Der Vorwurf lautet auf Betrug und steht im Kontext mit der Anwendung der Tarif- bestimmung TARMED bei Knochendichtemessungen. Konkret wird in der Straf- anzeige Dr. med. B._____ (vorliegend: Beschwerdegegner 1, nachfolgend: Be- schwerdegegner) zusammengefasst vorgeworfen, er habe dem Geschädigten, der sich bei ihm am 2. September 2020 einer Knochendichtemessung unterzogen habe, einen Betrag in der Höhe von Fr. 50.30 in Rechnung gestellt und sich selbst über die Krankenkasse … des Geschädigten weitere Fr. 67.10 vergüten lassen. Die (zusätzliche) Rechnungsstellung an den Geschädigten erachtet die Be- schwerdeführerin als unzulässig, weil die Kosten für eine Knochendichtemessung gemäss anwendbarer Tarifbestimmung TARMED (Ziffer 39.1950) von der obliga- torischen Krankenversicherung gedeckt seien, unabhängig der Anzahl Messpunk- te, die im Rahmen der Messung erfasst würden. Es bestehe insofern ein sog. Ta- rifschutz. Weiter vermutet die Beschwerdeführerin, dass es sich um ein standardi- siertes Vorgehen handle, da sich die Patienten der Klinik D._____ bzw. des Be- schwerdegegners mittels eines Formulars vorab einverstanden erklären müssten, dass bei der Durchführung der Knochendichtemessungen an zwei Lokalisationen ein Selbstbehalt von Fr. 50.30 anfallen könne, den der Patient möglicherweise selbst zu bezahlen habe bzw. von der Krankenkasse (je nach Versicherungsmo- dell) nicht übernommen werde. Indem den Patienten ein Formular zur Unterschrift vorgelegt werde, welches unmissverständlich besage, dass nur die Kosten für die Knochendichtemessung an einem einzigen Punkt durch die obligatorische Kran- kenpflegeversicherung übernommen würden, jeder weitere Messpunkt jedoch vom Patienten selber zu bezahlen sei, werde der Patient (arglistig) falsch infor- miert.</w:t>
      </w:r>
    </w:p>
    <w:p>
      <w:r>
        <w:t>- 3 -</w:t>
      </w:r>
    </w:p>
    <w:p>
      <w:r>
        <w:rPr>
          <w:b/>
        </w:rPr>
        <w:t>E. 2</w:t>
      </w:r>
    </w:p>
    <w:p>
      <w:r>
        <w:t>lit. b UWG gewisse … zur Zivilklage und zum Strafantrag], womit solche Perso- nen grundsätzlich auch zum Kreis der potenziell beschwerdelegitimierten Parteien zählen. Dessen ungeachtet setzt das Eintreten auf eine Beschwerde voraus, dass zusätzlich ein rechtlich geschütztes Interesse an der Aufhebung oder Änderung des angefochtenen Entscheides dargetan werden kann [Art. 382 Abs. 1 StPO]. Eine solche unmittelbare und direkte Betroffenheit in eigenen Rechten ist bei … selbst bei einer mutmasslichen Verfälschung des Wettbewerbs nicht gegeben, so- lange die Organisation persönlich nicht bzw. lediglich im Sinne eines Reflexscha- dens tangiert ist [vgl. BStGer BB.2016.243, Beschluss vom 14. Dezember 2016, E. 1.2 ff. m.w.H.]). 4.4 Ferner wurde im Kanton Zürich gestützt auf Art. 104 Abs. 2 StPO weiteren Behörden Parteirechte zuerkannt: Nach § 154 des Gesetzes über die Gerichts- und Behördenorganisation im Zivil- und Strafprozess (GOG, LS 211.1) können (kantonale und kommunale) Behörden und Amtsstellen, die (gestützt auf § 167 GOG) in Wahrung der ihrem Schutz anvertrauten Interessen Strafanzeige erstat- tet haben, gegen Nichtanhandnahme- und Einstellungsverfügungen Beschwerde</w:t>
      </w:r>
    </w:p>
    <w:p>
      <w:r>
        <w:t>- 6 - erheben (HAUSER/SCHWERI/LIEBER, Kommentar GOG, 2. Auflage, Zürich 2017, N</w:t>
      </w:r>
    </w:p>
    <w:p>
      <w:r>
        <w:rPr>
          <w:b/>
        </w:rPr>
        <w:t>E. 3</w:t>
      </w:r>
    </w:p>
    <w:p>
      <w:r>
        <w:t>ff. zu § 154 GOG). In der Kasuistik findet sich hierzu jedoch kein vergleichbarer Fall, insbesondere keine privatrechtlich organisierte Institution (a.a.O.). Die Zuer- kennung der Legitimation zur Einlegung der Beschwerde gegen die vorliegende Nichtanhandnahmeverfügung kommt daher auch gestützt auf § 154 GOG nicht in- frage. 4.5 Schliesslich existiert auf Bundesebene in Art. 23 Abs. 3 des Sportförderungs- gesetzes (SpoFöG, SR 415.0) eine spezielle Regelung. Nach dieser Bestimmung wurde einer privatrechtlich organisierten Agentur – konkret der Stiftung für Anti- doping – ausdrücklich im Sinne von Art. 104 Abs. 2 StPO die Rechtsmittellegiti- mation zuerkannt zwecks Bekämpfung von Doping im Sport (LIEBER, Zürcher Kommentar StPO, a.a.O., N 15 und N 18a zu Art. 104 StPO). Eine analoge ge- setzliche Grundlage für die Beschwerdeführerin z.B. zwecks Bekämpfung von Missbrauchsfällen bei der Anwendung der Tarifbestimmung TARMED findet sich jedoch nicht.</w:t>
      </w:r>
    </w:p>
    <w:p>
      <w:r>
        <w:rPr>
          <w:b/>
        </w:rPr>
        <w:t>E. 5</w:t>
      </w:r>
    </w:p>
    <w:p>
      <w:r>
        <w:t>Nach dem Gesagten fehlt es der Beschwerdeführerin an der Beschwerdelegi- timation. Dies führt zu einem Nichteintretensentscheid.</w:t>
      </w:r>
    </w:p>
    <w:p>
      <w:r>
        <w:rPr>
          <w:b/>
        </w:rPr>
        <w:t>E. 6</w:t>
      </w:r>
    </w:p>
    <w:p>
      <w:r>
        <w:t>In materieller Hinsicht kann ergänzungshalber trotzdem das Folgende ange- führt werden: Die Staatsanwaltschaft fand in der Sache keine Anhaltspunkte für ein (systematisches) betrügerisches Vorgehen der involvierten Klinik, sondern er- kannte eher auf eine falsche Auslegung bzw. Fehlinterpretation der zur Anwen- dung gelangten Tarifbestimmung, mithin auf eine zivilrechtliche Problematik ohne strafrechtliche Relevanz (Urk. 3 S. 2). Dieser Auffassung kann gefolgt werden. Dafür spricht zum einen die im Anschluss an den Vorfall zwischen dem Geschä- digten und dem Beschwerdegegner bzw. der Klinik sachlich geführte Korrespon- denz (vgl. Urk. 9/2/8 und 9/2/10-11) und zum anderen die offen formulierte, infor- mative und transparente Ausgestaltung des fraglichen Formulars zur inkriminier- ten Abrechnungspraxis (vgl. Urk. 9/2/7). Anzumerken bleibt, dass (entgegen der Vermutung der Beschwerdeführerin, Urk. 2 S. 2) der Beschwerdegegner bzw. die Klinik zwischenzeitlich ihre Abrechnungspraxis offenbar angepasst und einen ent-</w:t>
      </w:r>
    </w:p>
    <w:p>
      <w:r>
        <w:t>- 7 - sprechenden Tarifschutz bei Knochendichtemessungen anerkannt hat (vgl. Urk. 9/2/11).</w:t>
      </w:r>
    </w:p>
    <w:p>
      <w:r>
        <w:rPr>
          <w:b/>
        </w:rPr>
        <w:t>E. 7</w:t>
      </w:r>
    </w:p>
    <w:p>
      <w:r>
        <w:t>Angesichts der Bedeutung und Schwierigkeit des Falls sowie des Aufwands des Gerichts ist die Gerichtsgebühr für das Beschwerdeverfahren auf Fr. 800.– festzusetzen (§ 17 Abs. 1 i.V.m. § 2 Abs. 1 lit. b - d GebV OG) und ausgangsge- mäss der Beschwerdeführerin aufzuerlegen (Art. 428 Abs. 1 StPO). Die Zuspre- chung einer Prozessentschädigung fällt ausser Betracht.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