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UE220021 vom 30. Dezember 2022</w:t>
      </w:r>
    </w:p>
    <w:p>
      <w:r>
        <w:t>ZH Obergericht, 2022-12-30, DE</w:t>
      </w:r>
    </w:p>
    <w:p>
      <w:r>
        <w:rPr>
          <w:b/>
        </w:rPr>
        <w:t xml:space="preserve">Quelle: </w:t>
      </w:r>
      <w:r>
        <w:t>https://mcp.opencaselaw.ch/entscheid/zh_obergericht_UE220021</w:t>
      </w:r>
    </w:p>
    <w:p>
      <w:r>
        <w:t>FR: ZH_OBERGERICHT UE220021 du 30 décembre 2022</w:t>
      </w:r>
    </w:p>
    <w:p>
      <w:r>
        <w:t>IT: ZH_OBERGERICHT UE220021 del 30 dicembre 2022</w:t>
      </w:r>
    </w:p>
    <w:p>
      <w:pPr>
        <w:pStyle w:val="Heading2"/>
      </w:pPr>
      <w:r>
        <w:t>Erwägungen</w:t>
      </w:r>
    </w:p>
    <w:p>
      <w:r>
        <w:rPr>
          <w:b/>
        </w:rPr>
        <w:t>E. 1</w:t>
      </w:r>
    </w:p>
    <w:p>
      <w:r>
        <w:t>Mit Schreiben vom 10. Mai 2021 erstattete A._____ (fortan Beschwerdefüh- rerin) bei der Staatsanwaltschaft III des Kantons Zürich Strafanzeige gegen B._____ (fortan Beschwerdegegnerin) bzw. gegen Unbekannt. Dabei soll auf dem Zahlungsbefehl in einer von der Beschwerdeführerin als Gläu- bigerin eingeleiteten Betreibung mittels gefälschter Unterschrift Rechtsvorschlag erhoben worden sein. Die Unterschrift stamme nicht von der eigentlichen Schuld- nerin, der Beschwerdegegnerin, sondern von einer unautorisierten (unbekannten) Drittperson, die sich am Schalter des Betreibungsamtes Horgen als Beschwerde- gegnerin ausgegeben habe. Damit sei der Rechtsvorschlag (sinngemäss) unter Begehung einer Urkundenfälschung erfolgt (Urk. 15/1).</w:t>
      </w:r>
    </w:p>
    <w:p>
      <w:r>
        <w:rPr>
          <w:b/>
        </w:rPr>
        <w:t>E. 1.1</w:t>
      </w:r>
    </w:p>
    <w:p>
      <w:r>
        <w:t>In den eigenen Rechten unmittelbar verletzt ist, wer Träger/in des durch die verletzte Strafnorm geschützten oder zumindest mitgeschützten Rechtsgutes ist. Bei Strafnormen, die nicht primär Individualrechtsgüter schützen, gelten praxis- gemäss nur diejenigen Personen als Geschädigte, die durch die entsprechenden Tatumstände in ihren Rechten beeinträchtigt werden, sofern diese Beeinträchti- gung unmittelbare Folge der tatbestandsmässigen Handlung ist. Die Legitimation der anzeigeerstattenden Person im kantonalen Beschwerdeverfahren gegen eine Nichtanhandnahmeverfügung der Staatsanwaltschaft setzt ebenfalls voraus, dass sie durch die angezeigte Straftat in ihren Rechten unmittelbar verletzt und dem- nach Geschädigte im Sinne von Art. 115 Abs. 1 StPO ist (zum Ganzen: Urteil des Bundesgerichts 6B_139/2019 vom 22. Oktober 2019 E. 3.1.1; BGE 141 IV 454 E. 2.3.1).</w:t>
      </w:r>
    </w:p>
    <w:p>
      <w:r>
        <w:rPr>
          <w:b/>
        </w:rPr>
        <w:t>E. 1.2</w:t>
      </w:r>
    </w:p>
    <w:p>
      <w:r>
        <w:t>Urkundendelikte schützen in erster Linie die Allgemeinheit. Geschütztes Rechtsgut ist das besondere Vertrauen, welches im Rechtsverkehr einer Urkunde als Beweismittel entgegengebracht wird. Daneben können auch private Interes- sen unmittelbar betroffen sein, wenn die Urkundenfälschung auf die Benachteili-</w:t>
      </w:r>
    </w:p>
    <w:p>
      <w:r>
        <w:t>- 4 - gung (vermögensrechtlich oder anderweitig) einer bestimmten Person abzielt. Nach bundesgerichtlicher Praxis wird die Geschädigtenstellung von Privaten bei- spielsweise bejaht, wenn die Urkundenfälschung gleichzeitig Bestandteil eines schädigenden Vermögensdelikts bildet. Ist hingegen die Beeinträchtigung indivi- dueller Rechte nicht unmittelbare Folge des Urkundendelikts, sondern eines an- deren, erst später hinzugetretenen deliktischen Verhaltens, ist nicht von einer ge- schädigten Person im Zusammenhang mit dem Urkundendelikt auszugehen (MA- ZZUCHELLI/POSTIZZI, Basler Kommentar StPO, Basel 2014, N 73 zu Art. 115; Urteil des Bundesgerichts 6B_139/2019 vom 22. Oktober 2019 E. 3.1.2; BGE 140 IV 155 E. 3.3.3). 2. Die Beschwerdeführerin macht im Wesentlichen geltend, in einer von ihr als Gläubigerin eingeleiteten Betreibung gegen die Beschwerdegegnerin als Schuld- nerin hinsichtlich unbezahlter Rechnungen sei auf dem entsprechenden Zah- lungsbefehl (vgl. Urk. 15/2/3 S. 2) mittels gefälschter Unterschrift einer unbekann- ten Drittperson Rechtsvorschlag erhoben worden (Urk. 2 S. 2).</w:t>
      </w:r>
    </w:p>
    <w:p>
      <w:r>
        <w:rPr>
          <w:b/>
        </w:rPr>
        <w:t>E. 2</w:t>
      </w:r>
    </w:p>
    <w:p>
      <w:r>
        <w:t>Mit Verfügung vom 17. Januar 2022 nahm die zuständige Staatsanwalt- schaft Limmattal/Albis (fortan Staatsanwaltschaft) eine Strafuntersuchung gestützt auf Art. 310 Abs. 1 lit. a StPO nicht anhand (Urk. 3 S. 2 f.). Die Beschwerdeführe- rin bestätigte den Empfang der Verfügung per 22. Januar 2022 (vgl. Urk. 15/8). Mit Eingabe vom 29. Januar 2022 (Poststempel) erhob die Beschwerdeführerin gegen die genannte Nichtanhandnahmeverfügung innert Frist Beschwerde mit den Anträgen, diese sei aufzuheben und es sei die Staatsanwaltschaft anzuwei- sen, ein Strafverfahren gegen die Beschwerdegegnerin als Beschuldigte zu füh- ren; unter Kosten- und Entschädigungsfolgen zu Lasten der Staatskasse (Urk. 2 S. 1).</w:t>
      </w:r>
    </w:p>
    <w:p>
      <w:r>
        <w:rPr>
          <w:b/>
        </w:rPr>
        <w:t>E. 2.1</w:t>
      </w:r>
    </w:p>
    <w:p>
      <w:r>
        <w:t>Gemäss Art. 78 Abs. 1 SchKG bewirkt der Rechtsvorschlag einstweilen die Einstellung der Betreibung und hemmt damit den Fortgang des betreffenden Be- treibungsverfahrens. Zur Weiterführung der Betreibung muss die betriebene Per- son den Rechtsvorschlag mittels provisorischer oder definitiver Rechtsöffnung be- seitigen. Falls sie noch keinen Rechtsöffnungstitel in den Händen hält, muss sie zuerst einen solchen erlangen, allenfalls durch Einleitung eines ordentlichen Ge- richtsverfahrens. Falls der Rechtsvorschlag in Verletzung betreibungsrechtlicher Vorschriften zugelassen wurde, kann ihn die betreibende Person mittels betrei- bungsrechtlicher Beschwerde (Art. 17 SchKG) anfechten bzw. aufheben lassen. Die Wirkung des Rechtsvorschlags ist dabei auf das Betreibungsverfahren und den betreffenden Zahlungsbefehl begrenzt. Das Nicht-/Erheben des Rechtsvor- schlags hat keine Wirkung auf den materiellen Bestand der in Betreibung gesetz- ten Forderung, insbesondere ist das Nichterheben des Rechtsvorschlags keine Schuldanerkennung (MALACRIDA/ROESLER, Kurzkommentar [KuKo] SchKG, Zürich 2014, N 1 f. zu Art. 78 mit Hinweisen).</w:t>
      </w:r>
    </w:p>
    <w:p>
      <w:r>
        <w:t>- 5 -</w:t>
      </w:r>
    </w:p>
    <w:p>
      <w:r>
        <w:rPr>
          <w:b/>
        </w:rPr>
        <w:t>E. 2.2</w:t>
      </w:r>
    </w:p>
    <w:p>
      <w:r>
        <w:t>Mit Blick auf das soeben Ausgeführte erscheint es fraglich, wie weit die Be- schwerdeführerin zur Beschwerde nach StPO überhaupt legitimiert ist. Der eigent- liche Bestand der von ihr in Betreibung gesetzten Forderung ist von der Erhebung bzw. Zulassung des fraglichen Rechtsvorschlags nicht tangiert. In vermögens- rechtlicher Hinsicht zeigt sich die Ausgangslage der Beschwerdeführerin vor und nach dem inkriminierten Sachverhalt gleich. Sie verlangt von der Beschwerde- gegnerin nach wie vor die Bezahlung ausstehender Rechnungen. Mit der Zulassung des Rechtsvorschlags ist der Beschwerdeführerin somit keine weitergehende Schädigung oder entsprechende Gefährdung des Vermögens ent- standen, sondern dies führt lediglich dazu, dass die geltend gemachte, ohnehin strittige Forderung allenfalls materiellrechtlich von einem Gericht zu beurteilen sein wird (der Rechtsvorschlag an sich unterliegt keiner materiellen Prüfung, vgl. Art. 75 SchKG). Umgekehrt wäre ohne Rechtsvorschlag auch keine Schuldaner- kennung seitens der Beschwerdegegnerin gegeben und die Beschwerdeführerin müsste den Betrag (wohl) ohnehin gerichtlich durchsetzen (vgl. nachfolgend).</w:t>
      </w:r>
    </w:p>
    <w:p>
      <w:r>
        <w:rPr>
          <w:b/>
        </w:rPr>
        <w:t>E. 2.3</w:t>
      </w:r>
    </w:p>
    <w:p>
      <w:r>
        <w:t>Hat jemand für eine andere Person Rechtsvorschlag erhoben und erschei- nen die Vertretungsverhältnisse nicht klar, weil beispielsweise die entsprechende Vollmacht nicht vorliegt, kann die betriebene Person den Rechtsvorschlag auch nachträglich noch genehmigen. Vorliegend darf ohne Weiteres davon ausgegan- gen werden, dass die Beschwerdegegnerin Rechtsvorschlag erheben wollte bzw. einen solchen genehmigen würde, zumal sie selbst auch eine Betreibung gegen die Beschwerdeführerin eingeleitet hat (Urk. 15/2/6 betr. Rückforderung aus unge- rechtfertigten Vorschusszahlungen). Auch insofern wäre nicht von einer Schuld- anerkennung auszugehen. Letztlich ist darauf hinzuweisen, dass die Beschwerdeführerin auch die Möglich- keit hat (allenfalls gehabt hätte), einen ihrer Ansicht nach unter Verletzung betrei- bungsrechtlicher Vorschriften zugelassenen Rechtsvorschlag mittels betreibungs- rechtlicher Beschwerde nach Art. 17 SchKG anzufechten und hierzu nicht auf strafrechtliche Mittel zurückgreifen musste (vgl. auch nachfolgend unter II./3.). Auf die Beschwerde ist deshalb insgesamt nicht einzutreten.</w:t>
      </w:r>
    </w:p>
    <w:p>
      <w:r>
        <w:t>- 6 -</w:t>
      </w:r>
    </w:p>
    <w:p>
      <w:r>
        <w:rPr>
          <w:b/>
        </w:rPr>
        <w:t>E. 3</w:t>
      </w:r>
    </w:p>
    <w:p>
      <w:r>
        <w:t>Ergänzend ist darauf hinzuweisen, dass sich die Beschwerde, wäre auf die- se einzutreten, ohnehin sogleich als unbegründet erwiese. Die Staatsanwaltschaft geht in ihrer Nichtanhandnahmeverfügung zurecht und mit überzeugender Be- gründung davon aus, dass hinsichtlich einer strafrechtlich relevanten Handlung – sei es seitens der Beschwerdegegnerin oder einer unbekannten Drittperson – keinerlei Anhaltspunkte gegeben sind (Urk. 3 S. 2); weder hinsichtlich eines Ur- kunden- noch eines Vermögensdeliktes.</w:t>
      </w:r>
    </w:p>
    <w:p>
      <w:r>
        <w:rPr>
          <w:b/>
        </w:rPr>
        <w:t>E. 3.1</w:t>
      </w:r>
    </w:p>
    <w:p>
      <w:r>
        <w:t>Rechtsvorschlag kann nicht nur schriftlich, sondern auch mündlich erhoben werden. Wurde bei der Übergabe des Zahlungsbefehls nicht sogleich Rechtsvor- schlag erhoben, so hat dies innert Frist gegenüber dem zuständigen Betreibungs- amt zu erfolgen (vgl. Art. 74 Abs. 1 SchKG). Somit ist für die entsprechende Er- klärung grundsätzlich keine Form vorgeschrieben, mithin auch keine Unterschrift der Schuldnerin erforderlich. Auch inhaltlich genügt das Wort "Rechtsvorschlag" (so bereits die Staatsanwaltschaft gem. Urk. 3 S. 2; ebenso MALACRIDA/ROESLER, KuKo SchKG, N 4 f. zu Art. 74 mit Hinweisen).</w:t>
      </w:r>
    </w:p>
    <w:p>
      <w:r>
        <w:rPr>
          <w:b/>
        </w:rPr>
        <w:t>E. 3.2</w:t>
      </w:r>
    </w:p>
    <w:p>
      <w:r>
        <w:t>Dem fraglichen Zahlungsbefehl vom 10. Mai 2021 (siehe Urk. 15/2/3 S. 2), welcher der Schuldnerin bzw. der Beschwerdegegnerin am 17. Mai 2021 zuge- stellt wurde (so bescheinigt im Zahlungsbefehl S. 2), ist angesichts des roten Stempels (S. 2 unten rechts) klar zu entnehmen, dass gegenüber dem Betrei- bungsamt Horgen am 21. Mai 2021 innert Frist "Rechtsvorschlag erhoben" wurde, dies in Bezug auf die gesamte im Betreibung gesetzte Forderung. Dies – unab- hängig von der Frage der ohnehin nicht erforderlichen Unterschrift – reicht bereits für die Annahme, dass der Rechtsvorschlag rechtsgültig erhoben wurde. Es be- stehen zudem keine Zweifel daran, dass die Beschwerdegegnerin Rechtsvor- schlag erheben wollte (vgl. bereits II./2.3 betr. Gegenforderung). Hinsichtlich der Unterschrift (vgl. S. 2 des Zahlungsbefehls) beim Rechtsvorschlag ist auch ohne Weiteres davon auszugehen, dass sie von einer angestellten Per- son des Betreibungsamtes Horgen stammt, welche damit rechtsgültig bestätigt hat, dass die Beschwerdegegnerin (ob sie nun persönlich am Schalter war oder nicht), Rechtsvorschlag erhoben hat. Ein solches Vorgehen ist (entgegen der Be- schwerdeführerin, vgl. Urk. 2 S. 3) auch keineswegs ungewöhnlich, sieht doch be-</w:t>
      </w:r>
    </w:p>
    <w:p>
      <w:r>
        <w:t>- 7 - reits das Gesetz vor, dass das Betreibungsamt die allenfalls mündlich erfolgte Er- klärung des Rechtsvorschlags der betriebenen Person auf deren Verlangen hin gebührenfrei (unterschriftlich) bescheinigt (vgl. Art. 74 Abs. 3 SchKG). Hinweise für ein Urkundendelikt oder ein anderweitiges Vermögensdelikt ergeben sich daraus jedenfalls nicht. Somit würde die Beschwerdeführerin auch materiell mit der Beschwerde nicht durchdringen. III. Ausgangsgemäss sind die Kosten des Beschwerdeverfahrens der Beschwerde- führerin aufzuerlegen (Art. 428 Abs. 1 StPO). Ihr Ersuchen um Gewährung der unentgeltlichen Rechtspflege ist abzuweisen, da die Beschwerde als von vornhe- rein aussichtslos zu betrachten ist. Die Gerichtsgebühr ist angesichts der offenbar bescheidenen finanziellen Ver- hältnisse der Beschwerdeführerin (vgl. Urk. 8 und 9/1–7) auf einen reduzierten Betrag von Fr. 500.– festzusetzen (vgl. Art. 425 StPO). Die Beschwerdeführerin hat ausgangsgemäss keinen Anspruch auf Entschädi- gung. Da keine Stellungnahmen eingeholt wurden und der Beschwerdegegnerin somit keine Kosten entstanden sind, ist auch ihr keine Entschädigung zuzuspre- 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