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UE210345 vom 8. Juni 2022</w:t>
      </w:r>
    </w:p>
    <w:p>
      <w:r>
        <w:t>ZH Obergericht, 2022-06-08, DE</w:t>
      </w:r>
    </w:p>
    <w:p>
      <w:r>
        <w:rPr>
          <w:b/>
        </w:rPr>
        <w:t xml:space="preserve">Quelle: </w:t>
      </w:r>
      <w:r>
        <w:t>https://mcp.opencaselaw.ch/entscheid/zh_obergericht_UE210345</w:t>
      </w:r>
    </w:p>
    <w:p>
      <w:r>
        <w:t>FR: ZH_OBERGERICHT UE210345 du 8 juin 2022</w:t>
      </w:r>
    </w:p>
    <w:p>
      <w:r>
        <w:t>IT: ZH_OBERGERICHT UE210345 del 8 giugno 2022</w:t>
      </w:r>
    </w:p>
    <w:p>
      <w:pPr>
        <w:pStyle w:val="Heading2"/>
      </w:pPr>
      <w:r>
        <w:t>Erwägungen</w:t>
      </w:r>
    </w:p>
    <w:p>
      <w:r>
        <w:rPr>
          <w:b/>
        </w:rPr>
        <w:t>E. 1</w:t>
      </w:r>
    </w:p>
    <w:p>
      <w:r>
        <w:t>Die Staatsanwaltschaft Zürich-Sihl führte eine Strafuntersuchung gegen Rechtsanwalt A._____ (nachfolgend: Beschwerdeführer) wegen Betrugs etc. (vgl. Urk. 12 und Urk. 13). Am 7. Juli 2021 erhob die Staatsanwaltschaft Zürich-Sihl Anklage gegen den Beschwerdeführer beim Bezirksgericht Zürich (Urk. 31/1). Im Rahmen seiner Stellungnahme im Ausstandsverfahren, Geschäfts-Nr. UA210025, erstattete der Beschwerdeführer am 15. August 2021 Strafanzeige gegen den fall- führenden Staatsanwalt B._____ (nachfolgend: Beschwerdegegner) wegen Amtsmissbrauchs (Urk. 12/3 S. 10). Diese Strafanzeige wurde von der III. Straf- kammer mit Beschluss vom 19. August 2021 an die Staatsanwaltschaft Zürich- Sihl übermittelt (Urk. 12/2 S. 5), worauf die Oberstaatsanwaltschaft des Kantons Zürich den Fall der Staatsanwaltschaft II des Kantons Zürich (nachfolgend: Staatsanwaltschaft) zuwies (Urk. 12/4). Diese verfügte am 5. Oktober 2021 die Nichtanhandnahme einer Strafuntersuchung (Urk. 3).</w:t>
      </w:r>
    </w:p>
    <w:p>
      <w:r>
        <w:rPr>
          <w:b/>
        </w:rPr>
        <w:t>E. 2</w:t>
      </w:r>
    </w:p>
    <w:p>
      <w:r>
        <w:t>Soweit erforderlich seien die Akten der gegen den Beschwerde- führer geführten Strafuntersuchung der Staatsanwaltschaft Zü- rich-Sihl, F-3/2016/10022635, gegenwärtig vom Obergericht im Verfahren UV210018 betreffend Rechtsverweigerung beigezo- gen, beizuziehen.</w:t>
      </w:r>
    </w:p>
    <w:p>
      <w:r>
        <w:rPr>
          <w:b/>
        </w:rPr>
        <w:t>E. 3</w:t>
      </w:r>
    </w:p>
    <w:p>
      <w:r>
        <w:t>Die Prozesskaution in Höhe von Fr. 1'800 ging innert Frist ein (Urk. 5, Urk. 8). Die Staatsanwaltschaft beantragte daraufhin unter Einreichung der Un- tersuchungsakten mit Eingabe vom 14. Dezember 2021 die Abweisung der Be- schwerde, unter Kostenfolgen zu Lasten des Beschwerdeführers (Urk. 11,</w:t>
      </w:r>
    </w:p>
    <w:p>
      <w:r>
        <w:t>- 3 - Urk. 12, Urk. 13). Ebenso beantragte der Beschwerdegegner mit Eingabe vom 15. Dezember 2021 die Abweisung der Beschwerde (Urk. 14). Am 28. Dezember 2021 erging eine weitere Eingabe des Beschwerdeführers (Urk. 20). Am 12. Ja- nuar 2022 replizierte der Beschwerdeführer (Urk. 26). Die Staatsanwaltschaft ver- zichtete auf eine Duplik (Urk. 25, Urk. 30); der Beschwerdegegner liess sich nicht mehr vernehmen (Urk. 24/1, Urk. 29/1). Wie beantragt, wurden aus dem Be- schwerdeverfahren, Geschäfts-Nr. UV210018, zwei sich nicht in den Untersu- chungsakten der Staatsanwaltschaft befindende Aktenstücke beigezogen (Urk. 31/1-2).</w:t>
      </w:r>
    </w:p>
    <w:p>
      <w:r>
        <w:rPr>
          <w:b/>
        </w:rPr>
        <w:t>E. 3.1</w:t>
      </w:r>
    </w:p>
    <w:p>
      <w:r>
        <w:t>Die Staatsanwaltschaft begründete die Nichtanhandnahme einer Strafunter- suchung zusammengefasst damit, dass dem Beschwerdeführer als Inhaber der zu durchsuchenden Sachen das von Art. 247 Abs. 1 StPO verlangte rechtliche Gehör zur anstehenden Durchsuchung bei der Hausdurchsuchung und im Entsie- gelungsverfahren gewährt worden sei. Der Beschwerdeführer habe kein gesetzli- ches Teilnahmerecht an einer späteren Durchsuchung. Ausserdem habe das Zwangsmassnahmengericht die zu durchsuchenden Sachen bedingungslos zur Durchsuchung durch die Staatsanwaltschaft freigegeben. Folglich habe der Be- schwerdegegner seine Machtbefugnisse offenkundig rechtmässig angewendet (Urk. 3 S. 5 f.).</w:t>
      </w:r>
    </w:p>
    <w:p>
      <w:r>
        <w:rPr>
          <w:b/>
        </w:rPr>
        <w:t>E. 3.2</w:t>
      </w:r>
    </w:p>
    <w:p>
      <w:r>
        <w:t>Der Beschwerdeführer brachte in seiner Beschwerdeschrift im Wesentlichen vor, dass obwohl die Mandanten- und E-Mail-Korrespondenz offensichtlich dem Beschlagnahmeverbot nach Art. 264 Abs. 1 lit. c StPO unterliege und daran kein rechtlich geschütztes Interesse hinsichtlich des gegen ihn geführten Strafverfah- rens bestehe, sie vom Beschwerdegegner entsiegelt, beschlagnahmt und durch- sucht worden sei. In der Folge habe der Beschwerdegegner keine angemessenen Massnahmen getroffen, um die berechtigten Drittinteressen, namentlich den Schutz des Berufsgeheimnisses, zu wahren, dies obwohl der Beschwerdegegner durch ihn, den Beschwerdeführer, und das Obergericht mehrfach dazu aufgefor- dert worden sei. Folglich übe der Beschwerdegegner gegenüber ihm und seinen Mandanten hoheitlichen Zwang aus und greife in deren geschützte Grundrechte ein. Das Vorgehen des Beschwerdegegners verstosse zudem gegen Treu und Glauben. Er habe wegen der Zusicherung des Teilnahmerechts zwecks ord- nungsgemässer Aussonderung und Unkenntlichmachung von mandatsspezifi- schen Informationen auf die Siegelung verzichtet. Es sei ein widersprüchliches und missbräuchliches Verhalten, dass der Beschwerdegegner sich nicht an diese Zusicherung halte. Durch den verweigerten Abgleich der eingereichten Unterla- gen vereitle der Beschwerdegegner zudem, dass er, der Beschwerdeführer, ent- lastende Beweise erbringen könne (Urk. 2 S. 9 ff.).</w:t>
      </w:r>
    </w:p>
    <w:p>
      <w:r>
        <w:t>- 6 -</w:t>
      </w:r>
    </w:p>
    <w:p>
      <w:r>
        <w:rPr>
          <w:b/>
        </w:rPr>
        <w:t>E. 3.3</w:t>
      </w:r>
    </w:p>
    <w:p>
      <w:r>
        <w:t>Die Staatsanwaltschaft hielt in ihrer Stellungnahme im Wesentlichen an ih- rem Standpunkt fest (Urk. 11).</w:t>
      </w:r>
    </w:p>
    <w:p>
      <w:r>
        <w:rPr>
          <w:b/>
        </w:rPr>
        <w:t>E. 3.4</w:t>
      </w:r>
    </w:p>
    <w:p>
      <w:r>
        <w:t>Der Beschwerdegegner entgegnete in seiner Stellungnahme im Wesentli- chen, dass er das Strafverfahren gegen den Beschwerdeführer mit bestem Wis- sen und Gewissen geführt habe. Er sei sich keines Fehlverhaltens bewusst. Selbstverständlich könne er nicht gänzlich ausschliessen, mit seiner Rechtsauf- fassung bzw. mit seinem Vorgehen allenfalls falsch gelegen zu haben. Hiervon gehe er jedoch nicht aus (Urk. 14).</w:t>
      </w:r>
    </w:p>
    <w:p>
      <w:r>
        <w:rPr>
          <w:b/>
        </w:rPr>
        <w:t>E. 3.5</w:t>
      </w:r>
    </w:p>
    <w:p>
      <w:r>
        <w:t>Mit seiner unaufgeforderten Eingabe (Urk. 20) und seiner Replik (Urk. 26) hielt der Beschwerdeführer im Wesentlichen an seinem Standpunkt fest. Er beton- te hierbei, dass Anwaltskorrespondenz sichergestellt worden sei, welche keinen Sachzusammenhang zum Strafverfahren aufweise.</w:t>
      </w:r>
    </w:p>
    <w:p>
      <w:r>
        <w:rPr>
          <w:b/>
        </w:rPr>
        <w:t>E. 4</w:t>
      </w:r>
    </w:p>
    <w:p>
      <w:r>
        <w:t>Aufl., Basel 2019, Art. 312 N 8; Urteil des Bundesgerichts 1C_313/2012 vom</w:t>
      </w:r>
    </w:p>
    <w:p>
      <w:r>
        <w:rPr>
          <w:b/>
        </w:rPr>
        <w:t>E. 9</w:t>
      </w:r>
    </w:p>
    <w:p>
      <w:r>
        <w:t>November 2012 E. 3.1). Eine formelle Rechtsverweigerung erfüllt den Tatbe- stand für sich alleine hingegen nicht (Urteil des Bundesgerichts 1C_356/2020 vom 19. Oktober 2020 E. 3.2.4, mit Verweis auf Urteil des Bundesgerichts 1C_97/2012 vom 16. Juli 2012 E. 7.4.2; siehe hierzu auch Urteil des Bundesgerichts 1C_57/2018 vom 19. November 2018 E. 3, wonach sich das Bundesgericht zur</w:t>
      </w:r>
    </w:p>
    <w:p>
      <w:r>
        <w:t>- 7 - Frage, ob ein Missbrauch der Amtsgewalt allenfalls auch durch Unterlassung möglich ist, noch nicht [abschliessend] geäussert hat). Erforderlich ist Vorsatz, wobei Eventualvorsatz ausreicht. Daran fehlt es etwa, wenn der Amtsträger im Glauben handelt, er übe seine Machtbefugnisse pflicht- gemäss aus. Der Amtsträger muss ferner in der (Eventual-)Absicht handeln, sich oder einem Dritten einen unrechtmässigen Vorteil zu verschaffen oder einem an- deren einen Nachteil zuzufügen, der auch unrechtmässig sein muss (BSK StGB- Heimgartner, a.a.O., Art. 312 N 22 f., Urteil des Bundesgerichts 1C_456/2021 vom 6. Januar 2022 E. 5.1). 5. Aus den Akten ergibt sich folgender, relevanter Ablauf der gegen den Be- schwerdeführer geführten Strafuntersuchung: Am 26. September 2016 erliess die damals zuständige Staatsanwältin D._____ einen Hausdurchsuchungs- und Durchsuchungsbefehl für die dem Beschwerdeführer zugänglichen Räumlichkei- ten in der Kanzlei C._____ Rechtsanwälte (Urk. 12/6/1/1). Die Hausdurchsuchung fand am 29. September 2016 statt; der Beschwerdeführer beantragte die Siege- lung der aus den Klientendossiers sichergestellten Dokumente sowie der auf ei- nem USB-Stick sichergestellten E-Mail -Korrespondenz (Urk. 12/6/1/2, Urk. 12/6/1/3). Am 3. Oktober 2016 beantragte Staatsanwältin D._____ beim Zwangsmassnahmengericht des Bezirks Zürich die Entsiegelung. Hierbei hielt sie fest, dass die Entsiegelung im Beisein des Beschwerdeführers oder eines Mitar- beiters des Beschwerdeführers erfolgen könne, welcher allfällige Daten betreffend den Inhalt der Mandate schwärzen oder entfernen könne. Zwar sei davon auszu- gehen, dass die sichergestellten Dokumente und gespeicherten Informationen nur Daten betreffen würden, welche Gegenstand der Verfügung der Aufsichtskom- mission über die Anwältinnen und Anwälte seien und für welche das Berufsge- heimnis bereits aufgehoben sei. Aufgrund des Ausmasses der Datensicherstel- lung sei es jedoch möglich, dass sich auch für die Strafuntersuchung unbedeu- tende Daten dabei befänden, welche aussortiert werden müssten. Die mass- geblichen Dokumente und Daten würden in der Folge beschlagnahmt (Urk. 12/6/2/1 S. 3). Am 11. Oktober 2016 teilte der Beschwerdeführer dem Zwangsmassnahmengericht des Bezirks Zürich mit, das im Entsiegelungsgesuch</w:t>
      </w:r>
    </w:p>
    <w:p>
      <w:r>
        <w:t>- 8 - dargelegte Vorgehen der Staatsanwaltschaft stelle sicher, dass das Berufsge- heimnis nicht tangiert werde. Er sei daher mit der beantragten Entsiegelung und Durchsuchung einverstanden (Urk. 12/6/2/3). Mit Verfügung vom 24. Oktober 2016 wurde das Entsiegelungsverfahren vom Zwangsmassnahmengericht des Bezirks Zürich zufolge Rückzugs des Siegelungsbegehrens als gegenstandslos erledigt abgeschrieben. Die sichergestellten Dokumente und der USB-Stick mit der sichergestellten E-Mail-Korrespondenz wurden der Staatsanwaltschaft zur Durchsuchung und weiteren Verwendung freigegeben (Urk. 12/6/2/4). Am 23. Januar 2020 beschlagnahmte der Beschwerdegegner die anlässlich der Hausdurchsuchung vom 29. September 2016 sichergestellten Rechnungen inklu- sive Begleitschreiben sowie den USB-Stick mit E-Mail-Korrespondenz (Urk. 13/11/1). Am 26. Januar 2020 beantragte der Beschwerdeführer deren er- neute Siegelung. Er müsse aufgrund der detaillierten Aufzählung in der Beschlag- nahmeverfügung davon ausgehen, dass eine Entsiegelung ohne Massnahmen zur Wahrung des Berufsgeheimnisses stattgefunden habe. Den Rechnungen sei- en detaillierte Tätigkeitsbeschriebe beigefügt worden; bei den elektronischen Da- ten handle es sich um die gesamte Korrespondenz mit den Klienten. Massnah- men zum Schutz der gesetzlich geschützten Drittpersonen seien zwingend erfor- derlich (Urk. 13/11/3). Am 27. Januar 2020 verfügte der Beschwerdegegner da- raufhin die Herausgabe der Unterlagen sowie des USB-Sticks an den Beschwer- deführer (Urk. 13/11/4). Mit Beschluss vom 31. Mai 2021 hob die III. Strafkammer in Gutheissung der Beschwerde des Privatklägers E._____ die Herausgabeverfü- gung auf und hielt hierbei fest, dass es der Staatsanwaltschaft überlassen sei, den von ihr im Entsiegelungsverfahren offerierten Schutz zu gewährleisten (Urk. 12/6/3; Geschäfts-Nr. UH200042). Am 17. Juni 2021 ersuchte der Beschwerde- führer den Beschwerdegegner um Auswertung der Korrespondenz unter Wahrung des Berufsgeheimnisses (Urk. 13/7/21). Der Beschwerdegegner antwortete am 21. Juni 2021, dass er den Antrag vorgemerkt habe (Urk. 13/7/21, im Anhang). Am 7. Juli 2021 lehnte der Beschwerdegegner den Antrag ab (Urk. 31/2). 6.1. Wie bereits in den Beschlüssen der III. Strafkammer vom 31. Mai 2021 (Ge- schäfts-Nr. UH200042) und vom 28. März 2022 (Geschäfts-Nr. UA220007) fest-</w:t>
      </w:r>
    </w:p>
    <w:p>
      <w:r>
        <w:t>- 9 - gehalten, hat der Beschwerdeführer auf die Durchführung eines Entsiegelungs- verfahrens verzichtet. Der Entscheid des Bezirksgerichts Zürich vom 24. Oktober 2016 betreffend die Freigabe der sichergestellten Dokumente und des USB-Sticks mit der sichergestellten E-Mail-Korrespondenz an die Staatsanwaltschaft zur Durchsuchung und weiteren Verwendung erwuchs in Rechtskraft. Der Beschwer- deführer hat kein Rechtsmittel gegen die bedingungslose Entsiegelung durch das Zwangsmassnahmengericht des Bezirks Zürich ergriffen. Angesichts dessen kann in der Sichtung der sichergestellten resp. beschlagnahmten Unterlagen und Da- teien durch den Beschwerdegegner kein strafrechtlich relevantes Verhalten er- blickt werden. Wie bereits im Beschluss vom 28. März 2022 (Geschäfts- Nr. UA220007) ausgeführt, räumen zudem weder Art. 247 StPO noch Art. 147 StPO dem Beschwerdeführer ein Recht auf Anwesenheit bei der Durchsuchung ein (vgl. u.a. BSK StPO-Thormann/Brechbühl, 2. Aufl., Basel 2014, Art. 247 N 4 f. und N 10). Auch aus der monierten Nichtgewährung eines Teilnahmerechts (Urk. 2 S. 11 f.) geht somit kein Hinweis für ein strafbares Verhalten seitens des Beschwerdegegners hervor. 6.2. Weshalb der Erlass einer Beschlagnahmeverfügung als strafrechtlich rele- vant anzusehen sein sollte, ist nicht ersichtlich. Die Beschlagnahmeverfügung (Urk. 13/11/1) versah der Beschwerdegegner korrekt mit einer Rechtsmittelbeleh- rung. Der Beschwerdeführer macht geltend, es liege ein Beschlagnahmeverbot vor (Urk. 2 S. 9 f.). Auf die Ergreifung eines Rechtsmittels verzichtete er jedoch. Wie bereits im Beschluss vom 28. März 2022 (Geschäfts-Nr. UA220007) erwähnt, schliesst Art. 264 Abs. 1 lit. d StPO die Beschlagnahme von Unterlagen aus dem Verkehr einer Person mit ihrem Anwalt nicht aus, wenn der Anwalt im gleichen Sachzusammenhang selbst beschuldigt ist. Der Beschwerdegegner stellt sich auf den Standpunkt, dass die entsprechenden Voraussetzungen für eine Beschlag- nahme erfüllt seien (Urk. 15/1 S. 2). Es liegen somit unterschiedliche Rechtsauf- fassungen vor. Hieraus ergeben sich jedoch keinerlei Anhaltspunkte für ein straf- rechtlich relevantes Verhalten seitens des Beschwerdegegners, selbst wenn die Rechtsauffassung des Beschwerdegegners vom Sachgericht resp. einer allfälli- gen Rechtsmittelinstanz letztlich als falsch qualifiziert werden würde. In diesem Zusammenhang ist denn auch anzumerken, dass ebenso vom Sachgericht resp.</w:t>
      </w:r>
    </w:p>
    <w:p>
      <w:r>
        <w:t>- 10 - allfälligen Rechtsmittelinstanzen zu beurteilen sein wird, ob die beschlagnahmten Dokumente und Dateien für den Anklagesachverhalt von Relevanz sind (Urk. 20), resp. ob sie zu berücksichtigen sein werden (vgl. hierzu die Beschwerdeverfah- ren, Geschäfts-Nrn. UH210446 und UH210448). Selbst wenn sich unter den be- schlagnahmten Dokumenten und Dateien nicht relevante Informationen befänden, ginge hieraus kein Anzeichen für ein strafrechtlich relevantes Verhalten im Sinne eines Amtsmissbrauchs hervor. 6.3. Was den überdies geltend gemachten fehlenden Schutz des Berufsgeheim- nisses anbelangt (Urk. 2 S. 12 N 37 f., Urk. 20, Urk. 26 S. 2), so geht auch diese Argumentation des Beschwerdeführers ins Leere. Bereits im Beschluss vom 28. März 2022 (Geschäfts-Nr. UA220007) wurde darauf hingewiesen, dass die Gewährleistung des Schutzes allfälliger über die Befreiung vom Anwaltsgeheim- nis gemäss Entscheid der Aufsichtskommission über Anwältinnen und Anwälte des Kantons Zürich hinausgehender Informationen nicht nur durch eine sofortige Aussonderung entsprechender Dateien und Dokumente hätte bewerkstelligt wer- den können, sondern der Beschwerdegegner im Falle eines Akteneinsichtsge- suchs seitens der Privatklägerschaft eine Einschränkung des Akteneinsichts- rechts im Sinne von Art. 108 StPO hätte prüfen können resp. müssen. Dass je- doch die beschlagnahmten Unterlagen resp. Dateien der Gegenseite ohne Wah- rung des Schutzes allfälliger über die Befreiung vom Anwaltsgeheimnis gemäss Entscheid der Aufsichtskommission über Anwältinnen und Anwälte des Kantons Zürich hinausgehender Informationen ausgehändigt worden wären, wurde weder geltend gemacht noch ist derartiges aus den Akten ersichtlich. Ein strafrechtlich relevantes Verhalten des Beschwerdegegners in diesem Kontext ist dementspre- chend nicht ersichtlich. 6.4. Was zu guter Letzt den Vorwurf anbelangt, der Beschwerdegegner habe die Erbringung eines Entlastungsbeweises vereitelt (Urk. 2 S. 13 f.), indem er die be- reits eingereichten Unterlagen nicht mit den beschlagnahmten abgeglichen habe, so verfängt auch diese Argumentation nicht. Der Beschwerdegegner hat über den Beweisantrag des Beschwerdeführers auf Auswertung der Unterlagen und Datei- en befunden und diesen am 7. Juli 2021 abgelehnt (Urk. 31/2). Es war Sache des</w:t>
      </w:r>
    </w:p>
    <w:p>
      <w:r>
        <w:t>- 11 - Beschwerdegegners als fallführender Staatsanwalt zu entscheiden, welche Be- weise er im Hinblick auf die Anklageerhebung als notwendig erachtet (vgl. Art. 324 Abs. 1 StPO). Der Beschwerdeführer kann seine Beweisanträge gegen- über dem Sachgericht wiederholen (Art. 318 Abs. 2 Satz 3 StPO). Hieraus erleidet er keinen Rechtsnachteil. Die Ablehnung des Beweisantrags durch den Be- schwerdegegner stellt kein strafbares Verhalten dar. 7. Zusammenfassend gehen aus den Ausführungen des Beschwerdeführers somit keine Anzeichen für ein strafrechtlich relevantes Verhalten seitens des Be- schwerdegegners hervor. Die Staatsanwaltschaft hat folglich zu Recht die Nicht- anhandnahme einer Strafuntersuchung verfügt, womit die Beschwerde abzuwei- sen ist. Anzumerken ist, dass angesichts des Verfahrensausgangs auch nicht zu beanstanden ist, dass die Staatsanwaltschaft vor Erlass der Nichtanhandnahme- verfügung keine Ermächtigung zur Strafverfolgung im Sinne von § 148 GOG/ZH eingeholt hat (ZR 112/2013 Nr. 86). III. Angesichts der Bedeutung und Schwierigkeit des Falls sowie des Aufwands des Gerichts ist die Gerichtsgebühr für das Beschwerdeverfahren auf Fr. 1'500.00 festzusetzen (§ 17 Abs. 1 i.V.m. § 2 Abs. 1 lit. b - d GebV OG). Diese ist aus- gangsgemäss dem Beschwerdeführer aufzuerlegen (Art. 428 Abs. 1 StPO) und aus der von ihm geleisteten Prozesskaution von Fr. 1'800.00 zu beziehen (Urk. 8). Der Restbetrag der Prozesskaution ist unter dem Vorbehalt allfälliger Verrechnungsansprüche des Staates an den Beschwerdeführer zurückzuerstat- ten. Entschädigungen sind keine zuzusprechen.</w:t>
      </w:r>
    </w:p>
    <w:p>
      <w:r>
        <w:t>- 12 -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