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UE210202 vom 4. März 2022</w:t>
      </w:r>
    </w:p>
    <w:p>
      <w:r>
        <w:t>ZH Obergericht, 2022-03-04, DE</w:t>
      </w:r>
    </w:p>
    <w:p>
      <w:r>
        <w:rPr>
          <w:b/>
        </w:rPr>
        <w:t xml:space="preserve">Quelle: </w:t>
      </w:r>
      <w:r>
        <w:t>https://mcp.opencaselaw.ch/entscheid/zh_obergericht_UE210202</w:t>
      </w:r>
    </w:p>
    <w:p>
      <w:r>
        <w:t>FR: ZH_OBERGERICHT UE210202 du 4 mars 2022</w:t>
      </w:r>
    </w:p>
    <w:p>
      <w:r>
        <w:t>IT: ZH_OBERGERICHT UE210202 del 4 marzo 2022</w:t>
      </w:r>
    </w:p>
    <w:p>
      <w:pPr>
        <w:pStyle w:val="Heading2"/>
      </w:pPr>
      <w:r>
        <w:t>Erwägungen</w:t>
      </w:r>
    </w:p>
    <w:p>
      <w:r>
        <w:rPr>
          <w:b/>
        </w:rPr>
        <w:t>E. 1</w:t>
      </w:r>
    </w:p>
    <w:p>
      <w:r>
        <w:t>Rechtliches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Zu den rechtlichen Grundlagen der geltend gemachten Ehrverletzungs- Tatbestände kann auf die zutreffenden Ausführungen der Staatsanwaltschaft in der Nichtanhandnahmeverfügung verwiesen werden (Urk. 3/1 S. 2 f.).</w:t>
      </w:r>
    </w:p>
    <w:p>
      <w:r>
        <w:t>- 4 -</w:t>
      </w:r>
    </w:p>
    <w:p>
      <w:r>
        <w:rPr>
          <w:b/>
        </w:rPr>
        <w:t>E. 2</w:t>
      </w:r>
    </w:p>
    <w:p>
      <w:r>
        <w:t>Würdigung Die Beschwerdeführerin machte in der Strafanzeige vom 22. April 2021 zunächst geltend, der Beschwerdegegner 1 habe ihr Recht auf Datenschutz verletzt, indem er der Friedensrichterin geschrieben habe, dass sie zwei tätliche Angriffe auf Per- sonen verübt habe und eine strafrechtliche Verurteilung bereits erfolgt sei. So- dann habe er geschrieben, dass aufgrund zahlreicher Diebstähle und Zerstörung von Zierpflanzen mittels Gift bei der Beschwerdeführerin eine Wohnungsdurchsu- chung durchgeführt worden sei, wobei einige entwendeten Gegenstände gefun- den worden seien. Soweit die Beschwerdeführerin dem Beschwerdegegner 1 einen Verstoss gegen das Datenschutzgesetz (DSG) vorwirft, ist darauf hinzuweisen, dass dieses auf hängige Strafverfahren nicht anwendbar ist (vgl. Art. 2 Abs. 2 lit. c DSG). Somit entfällt eine entsprechende Strafbarkeit des Beschwerdegegners 1. Sodann wirft die Beschwerdeführerin dem Beschwerdegegner 1 durch die ge- nannten Äusserungen gegenüber der Friedensrichterin üble Nachrede und Ver- leumdung vor. Die Beschwerdeführerin erhob bereits zahlreiche Beschwerdeverfahren bei der hiesigen Kammer. Es ist gerichtsnotorisch, dass gegen die Beschwerdeführerin ein Strafverfahren wegen Sachbeschädigung geführt wurde. Sie wurde verdäch- tigt, eine Flüssigkeit im Garten des Nachbarn C._____ verschüttet zu haben, wodurch dessen Pflanzen eingegangen sein sollen. Am 18. November 2020 wur- de bei der Beschwerdeführerin eine Hausdurchsuchung durchgeführt. Dabei wur- den mehrere Geräte zum Verspritzen von Pestiziden und ein Kanister mit Chemi- kalien sichergestellt, sowie weitere Gegenstände, die auf einen Diebstahl oder ei- ne Sachentziehung hinweisen, namentlich Fahrradschlösser und lose Schutzble- che eines mutmasslich gestohlenen Fahrrads, zwei Topfdeckel und Bodenfliesen von Nachbarn (vgl. UH200386; Durchsuchungsprotokoll Urk. 8/D1/11/5). Ferner ist auch aus mehreren Beschwerden der Beschwerdeführerin bekannt, dass die Staatsanwaltschaft Zürich-Limmat die Beschwerdeführerin mit Strafbe- fehl vom 27. Mai 2020 wegen Beschimpfung und Tätlichkeiten zum Nachteil von</w:t>
      </w:r>
    </w:p>
    <w:p>
      <w:r>
        <w:t>- 5 - D._____ mit einer Geldstrafe von Fr. 3'000.– plus Verfahrenskosten bestrafte. Dagegen erhob die Beschwerdeführerin Einsprache (vgl. UE210139, UE210179). Weil der Beschwerdegegner 1 mithin ohne Weiteres beweisen kann, dass die von ihm vorgebrachte Äusserung in Bezug auf D._____ der Wahrheit entspricht bzw. dass die Beschwerdeführerin wie von ihm behauptet von der Staatsanwaltschaft bestraft wurde und die gestohlenen Gegenstände bei ihr gefunden wurden, ent- fällt seine Strafbarkeit diesbezüglich. Dass die Beschwerdeführerin gegen den Strafbefehl einen Rechtsbehelf ergriffen hat, führt zu keiner Strafbarkeit des Be- schwerdegegners 1. Einerseits war der Beschwerdegegner 1 nicht gehalten, die Rechtskraft des Straf- befehls abzuwarten, bis er über dessen Inhalt sprechen durfte. Andererseits macht die Beschwerdeführerin selbst nicht geltend, sie hätte den Beschwerde- gegner 1 über ihre Einsprache in Kenntnis gesetzt. Vielmehr erging der Strafbe- fehl mit genau jenem Inhalt, welchen der Beschwerdegegner 1 anderen Personen mitteilte. Er hatte mithin die Wahrheit gesagt. Es ist zulässig, dass D._____ als betroffener Geschädigter und in der Folge der Beschwerdegegner 1 weitere Per- sonen oder Behörden über ein erstinstanzliches Urteil oder einen Strafbefehl der Staatsanwaltschaft informierte, bevor ein solcher Entscheid in Rechtskraft er- wachsen ist. Es ist allgemein bekannt, dass Urteile angefochten werden können und der Beschwerdegegner 1 machte sich nicht wegen übler Nachrede und auch nicht wegen Verleumdung strafbar, wenn er den Entscheid bereits vor Rechtskraft weiteren Personen mitteilte. Die Beschwerdeführerin wendet zu Recht ein, dass E._____ gegen sie keine An- zeige wegen Tätlichkeiten erstattete (Urk. 2). Es gilt aber diesbezüglich zu beach- ten, dass dieser stets von einem "Angriff" auf sich sprach. E._____ fühlte sich of- fenkundig am 6. Oktober 2020 durch die Beschwerdeführerin in seiner Ehre an- gegriffen, weshalb er Strafanzeige gegen sie einreichte (vgl. Beschluss der hiesi- gen Kammer vom 13. September 2021, UE210139). Ob diese Anzeige zu Recht erfolgte, ist nicht an dieser Stelle zu erörtern. Massgeblich ist, dass E._____ von einem unrechtmässigen "Angriff" auf sich ausging, zwar nicht in körperlicher, je- doch in ehrverletzender Art und Weise. Als juristischer Laie konnte bzw. musste</w:t>
      </w:r>
    </w:p>
    <w:p>
      <w:r>
        <w:t>- 6 - weder E._____ noch D._____ eine präzise Abgrenzung machen (vgl. Beschluss der hiesigen Kammer vom 13. September 2021, UE210139 E. II.3), was jedoch offensichtlich ein falsches Bild beim Beschwerdegegner 1 verursachte. Dieser ging beim "Angriff" auf E._____ offenkundig davon aus, dass ein tätlicher Angriff stattgefunden hatte und teilte dies der Friedensrichterin mit. Mangels Vorsatzes auf eine üble Nachrede erfolgte daher auch diesbezüglich die Nichtanhandnahme zu Recht. Gleiches gilt für die Aussage des Beschwerdegegners 1, dass anlässlich einer Hausdurchsuchung bei der Beschwerdeführerin einige der entwendeten Gegen- stände hätten sichergestellt werden können. Dies entspricht gemäss dem zuvor wiedergegebenen Durchsuchungsprotokoll der Wahrheit und bezog sich entge- gen den Vorbringen der Beschwerdeführerin (Urk. 2 S. 4) nicht – jedenfalls nicht nur – auf die zwei Kamerasysteme des Beschwerdegegners 1, für deren Entfer- nung das Stadtrichteramt die Beschwerdeführerin am 3. November 2020 wegen Sachentziehung und nicht wegen Diebstahls bestrafte (vgl. Urk. 3/3). Der Nötigung nach Art. 181 StGB macht sich strafbar, wer jemanden durch Ge- walt oder Androhung ernstlicher Nachteile oder durch andere Beschränkung sei- ner Handlungsfreiheit nötigt, etwas zu tun, zu unterlassen oder zu dulden. Inwie- fern das Verhalten des Beschwerdegegners 1 eine Nötigung erfüllen könnte, ist nicht ersichtlich. Soweit die Beschwerdeführerin geltend macht, mit den E-Mails an die Friedensrichterin versuche der Beschwerdegegner 1, sie an ihrem Stimm- recht oder an anderen rechtlichen Schritten zu hindern (vgl. Urk. 7/3/2), ist dies nicht nachvollziehbar. Offenkundig ging es dem Beschwerdegegner 1 um eine Mitteilung an die Friedensrichterin und nicht darum, die Beschwerdeführerin zu einem Verhalten zu bewegen bzw. von einem Verhalten abzuhalten.</w:t>
      </w:r>
    </w:p>
    <w:p>
      <w:r>
        <w:rPr>
          <w:b/>
        </w:rPr>
        <w:t>E. 3</w:t>
      </w:r>
    </w:p>
    <w:p>
      <w:r>
        <w:t>Fazit Es liegt kein hinreichender Anfangsverdacht für eine strafbare Handlung vor. Die Mitteilung des tatsächlich ergangenen Strafbefehls an Dritte stellt ebenso wenig eine strafbare Handlung dar wie die Mitteilung der Hausdurchsuchung und des-</w:t>
      </w:r>
    </w:p>
    <w:p>
      <w:r>
        <w:t>- 7 - sen Ergebnisse. Entsprechend durfte die Staatsanwaltschaft eine Untersuchung nicht an die Hand nehmen. Die Beschwerde ist daher abzuweisen. III. Ausgangsgemäss hat die Beschwerdeführerin die Kosten des Beschwerdeverfah- rens zu tragen (Art. 428 Abs. 1 StPO). Angesichts von Bedeutung und Schwierig- keit des Falls sowie des Zeitaufwands des Gerichts ist die Gerichtsgebühr für das Beschwerdeverfahren auf Fr. 700.– festzusetzen (Art. 424 Abs. 1 StPO sowie § 17 Abs. 1 und § 2 Abs. 1 GebV OG). Die von der Beschwerdeführerin geleistete Sicherheit ist in diesem Umfang zur Deckung der Gerichtskosten zu verwenden und im Restbetrag – vorbehältlich allfälliger Verrechnungsansprüche des Staates – an die Beschwerdeführerin zurückzubezahlen. Für das Beschwerdeverfahren werden keine Entschädigungen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