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UE210165 vom 27. Juli 2021</w:t>
      </w:r>
    </w:p>
    <w:p>
      <w:r>
        <w:t>ZH Obergericht, 2021-07-27, DE</w:t>
      </w:r>
    </w:p>
    <w:p>
      <w:r>
        <w:rPr>
          <w:b/>
        </w:rPr>
        <w:t xml:space="preserve">Quelle: </w:t>
      </w:r>
      <w:r>
        <w:t>https://mcp.opencaselaw.ch/entscheid/zh_obergericht_UE210165</w:t>
      </w:r>
    </w:p>
    <w:p>
      <w:r>
        <w:t>FR: ZH_OBERGERICHT UE210165 du 27 juillet 2021</w:t>
      </w:r>
    </w:p>
    <w:p>
      <w:r>
        <w:t>IT: ZH_OBERGERICHT UE210165 del 27 luglio 2021</w:t>
      </w:r>
    </w:p>
    <w:p>
      <w:pPr>
        <w:pStyle w:val="Heading2"/>
      </w:pPr>
      <w:r>
        <w:t>Erwägungen</w:t>
      </w:r>
    </w:p>
    <w:p>
      <w:r>
        <w:rPr>
          <w:b/>
        </w:rPr>
        <w:t>E. 1.1</w:t>
      </w:r>
    </w:p>
    <w:p>
      <w:r>
        <w:t>Am 15. Dezember 2020 rapportierte die Stadtpolizei Zürich gegen B._____ (Beschwerdegegner) wegen übler Nachrede und Beschimpfung zum Nachteil von A._____ (Beschwerdeführerin). Dem Beschwerdegegner wurde dabei vorgewor- fen, die Beschwerdeführerin im Zeitraum zwischen dem 1. Juni 2020 und dem</w:t>
      </w:r>
    </w:p>
    <w:p>
      <w:r>
        <w:rPr>
          <w:b/>
        </w:rPr>
        <w:t>E. 1.2</w:t>
      </w:r>
    </w:p>
    <w:p>
      <w:r>
        <w:t>Mit Verfügung vom 19. April 2021 nahm die dafür zuständige Staatsanwalt- schaft See/Oberland eine Strafuntersuchung nicht an Hand (Urk. 4 = Urk. 7/7). Zur Begründung führte sie zusammengefasst im Wesentlichen aus, was folgt: Anlässlich ihrer Einvernahme bei der Stadtpolizei Zürich vom 29. September 2020 habe die Beschwerdeführerin zu Protokoll gegeben, sie habe den Beschwerde- gegner auf einer Partnerschaftsseite kennengelernt und ihn mehrmals getroffen. Er habe überraschend die Beziehung beendet und ihr mehrere WhatsApp- Nachrichten geschrieben, in denen er sie beleidigt habe. So habe er beispielswei- se geschrieben, dass sie krank sei und in die Psychiatrie gehöre. Ausserdem ha- be er ihr geschrieben, dass sie ihn für seine Gesellschaft vermutlich auch bezah- len würde, wodurch er sie im übertragenen Sinne als «Nutte» bezeichnet habe. Der Beschwerdegegner habe am 1. Dezember 2020 zum Vorwurf befragt bei der Polizei zu Protokoll gegeben, dass die jeweiligen Aussagen aus dem Kontext ge- rissen seien. Er habe die Beschwerdeführerin nicht beschimpft und habe sie aus- serdem nicht als «Nutte» bezeichnen wollen. Er habe mit der Bemerkung lediglich zum Ausdruck bringen wollen, dass er sich wegen der unzähligen Gesprächsauf- forderungen der Beschwerdeführerin gefühlt habe, als würde sie für ein Gespräch mit ihm bezahlen. Er bestreite zudem, mit Drittpersonen über die Beschwerdefüh- rerin gesprochen zu haben.</w:t>
      </w:r>
    </w:p>
    <w:p>
      <w:r>
        <w:t>- 3 - Die Aussagen «irre», «krank» und «sie würde für seine Gesellschaft noch bezah- len» stellten vorliegend noch keinen Angriff auf die strafrechtlich geschützte sittli- che Ehre des Menschen im Sinne von Art. 177 Abs. 1 StGB dar. Die nötige Inten- sität, um die Persönlichkeit der Beschwerdeführerin in ihrer menschlich-sittlichen Bedeutung oder gar ihren Ruf, ein ehrbarer Mensch zu sein, irgendwie zu verlet- zen, sei nicht gegeben. Vielmehr sei auch aus den von der Beschwerdeführerin zu den Akten gegebenen WhatsApp-Chats ersichtlich, dass der Beschwerdegeg- ner die Beschwerdeführerin mehrfach aufgefordert habe, ihn in Ruhe zu lassen, worüber sich die Beschwerdeführerin offensichtlich hinweggesetzt habe. Bei nüchterner Betrachtung dieser Formulierungen sei festzuhalten, dass es sich da- bei um eine relativ harmlose Ausdrucksweise im Kontext einer Auseinanderset- zung unter zwei Personen gehandelt habe und nicht um einen gezielten Angriff auf die strafrechtlich geschützte Ehre, weshalb das Verhalten des Beschwerde- gegners – mangels erforderlicher Intensität – bereits objektiv nicht tatbestands- mässig sei. In Bezug auf den Tatbestand der üblen Nachrede sei sodann festzu- halten, dass auch dieser Tatvorwurf haltlos sei. Die Beschwerdeführerin habe zu Protokoll gegeben, der Beschwerdegegner habe ihr bloss mitgeteilt, er sei von Drittpersonen belächelt worden, als er diesen Personen «davon» erzählt habe, was vom Beschwerdegegner bestritten werde. Somit handle es sich hier um eine reine Vermutung der Beschwerdeführerin. 2. Gegen die Nichtanhandnahmeverfügung erhob die Beschwerdeführerin mit Eingabe vom 18. Mai 2021 «Einspruch» bei der Staatsanwaltschaft mit dem sinn- gemässen Antrag auf Aufhebung der angefochtenen Verfügung (Urk. 3). Die Staatsanwaltschaft übermittelte die Eingabe am 25. Mai 2021 zuständigkeitshal- ber an die hiesige Kammer (Urk. 1). Die Beschwerdeführerin bringt in ihrer sinngemäss als Beschwerde entgegenzu- nehmenden Eingabe vor, sie sei weder zu einer Gegenüberstellung mit dem Be- schwerdegegner noch zu einer Einvernahme bei der Staatsanwaltschaft vorgela- den worden, bei welcher sie ihre eigene Sachverhaltsdarstellung hätte anbringen können. So habe sie zu den Aussagen des Beschwerdegegners nicht Stellung nehmen können. Sie könne die vom Beschwerdegegner bestrittenen WhatsApp-</w:t>
      </w:r>
    </w:p>
    <w:p>
      <w:r>
        <w:t>- 4 - Nachrichten auf ihrem Mobiltelefon vorlegen; die Polizei habe diese bei der An- zeigeerstattung noch nicht gesehen, da diese Nachrichten erst nach Anzeigeer- stattung geschickt worden seien (Urk. 3). 3. Mit Verfügung vom 9. Juni 2021 wurde der Beschwerdeführerin aufgegeben, zur Deckung der allfällig sie treffenden Prozesskosten eine Prozesskaution von einstweilen Fr. 1800.– zu leisten (Urk. 9). Mit Eingabe vom 12. Juni 2021 stellte sie ein Gesuch um unentgeltliche Prozessführung (Urk. 12), weshalb ihr die Frist zur Leistung einer Prozesskaution mit Verfügung vom 16. Juni 2021 wieder abge- nommen wurde (Urk. 14). 4. Da sich die Beschwerde offensichtlich als unbegründet erweist, ist auf einen Schriftenwechsel zu verzichten (Art. 390 Abs. 2 StPO).</w:t>
      </w:r>
    </w:p>
    <w:p>
      <w:r>
        <w:rPr>
          <w:b/>
        </w:rPr>
        <w:t>E. 5</w:t>
      </w:r>
    </w:p>
    <w:p>
      <w:r>
        <w:t>Angefochten ist eine Nichtanhandnahmeverfügung der Staatsanwaltschaft. Da- gegen ist die Beschwerde beim Obergericht zulässig (Art. 393 Abs. 1 lit. a StPO und § 49 GOG). Soweit sich die Vorbringen der Beschwerdeführerin auf Nachrich- ten beziehen, welche nicht Gegenstand ihrer Strafanzeige und der vorliegend an- gefochtenen Nichtanhandnahmeverfügung sind, ist darauf nicht einzugehen, da diese nicht Gegenstand des vorliegenden Beschwerdeverfahrens sind.</w:t>
      </w:r>
    </w:p>
    <w:p>
      <w:r>
        <w:rPr>
          <w:b/>
        </w:rPr>
        <w:t>E. 6</w:t>
      </w:r>
    </w:p>
    <w:p>
      <w:r>
        <w:t>Die Staatsanwaltschaft eröffnet eine Strafuntersuchung, wenn sich aus den In- formationen und Berichten der Polizei, aus der Strafanzeige oder aus ihren eige- 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w:t>
      </w:r>
    </w:p>
    <w:p>
      <w:r>
        <w:t>- 5 -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7</w:t>
      </w:r>
    </w:p>
    <w:p>
      <w:r>
        <w:t>Wie die Staatsanwaltschaft zu Recht vorbringt, stellen die inkriminierten Aus- sagen im vorliegenden Gesamtkontext der kurzen, vom Beschwerdegegner ab- gebrochenen (Liebes-)Beziehung zwischen der Beschwerdeführerin und ihm, in deren Anschluss die Beschwerdeführerin trotz klarer gegenteiliger Aufforderung des Beschwerdegegners immer wieder den Kontakt zu diesem suchte, mangels Intensität keine Angriffe gegen die strafrechtlich geschützte Ehre der Beschwer- deführerin dar. Insgesamt handelt es sich dabei um noch relativ harmlose Aus- drucksweisen im Kontext der dadurch entstandenen verbalen Auseinanderset- zung der beiden erwachsenen Personen. Auch sind keine objektiven Anhalts- punkte dafür vorhanden, dass der Beschwerdegegner sich abwertend gegenüber Dritten über die Beschwerdeführerin geäussert haben könnte. Der entsprechende Vorwurf der Beschwerdeführerin ist reine Spekulation. Der Argumentation der Staatsanwaltschaft bleibt nichts beizufügen. Die Staatsanwaltschaft stützte sich bei ihrer Beurteilung grösstenteils auf die Sachverhaltsdarstellung der Beschwerdeführerin, weshalb von vornherein keine Gehörsverletzung erkennbar ist. Ein Anspruch auf Gegenüberstellung mit dem Beschwerdegegner bestand unter diesen Umständen nicht. Wo die Staatsanwalt- schaft auf die Vorbringen des Beschwerdegegners abstellt, hatte die Beschwerde- führerin im vorliegenden Beschwerdeverfahren Gelegenheit, sich umfassend zu</w:t>
      </w:r>
    </w:p>
    <w:p>
      <w:r>
        <w:t>- 6 - äussern, womit eine allfällige Gehörsverletzung durch die Staatsanwaltschaft als geheilt zu gelten hätte.</w:t>
      </w:r>
    </w:p>
    <w:p>
      <w:r>
        <w:rPr>
          <w:b/>
        </w:rPr>
        <w:t>E. 8</w:t>
      </w:r>
    </w:p>
    <w:p>
      <w:r>
        <w:t>Zusammenfassend erweist sich die Beschwerde als unbegründet und ist abzu- weisen.</w:t>
      </w:r>
    </w:p>
    <w:p>
      <w:r>
        <w:rPr>
          <w:b/>
        </w:rPr>
        <w:t>E. 9</w:t>
      </w:r>
    </w:p>
    <w:p>
      <w:r>
        <w:t>Ausgangsgemäss wird die Beschwerdeführerin für das vorliegende Verfahren kostenpflichtig (Art. 428 Abs. 1 StPO). Ihrem Antrag auf Bewilligung der unentgelt- lichen Rechtspflege kann nicht entsprochen werden, da ihre Beschwerde und ei- ne allfällige Zivilklage wegen angeblich strafrechtlichen Verhaltens des Be- schwerdegegners von vornherein als aussichtslos zu betrachten ist (Art. 136 Abs. 1 lit. b StPO). In Beachtung der Bemessungsgrundlagen von § 2 Abs. 1 lit. b–d GebV OG und gestützt auf § 17 Abs. 1 GebV OG ist die Gerichtsgebühr auf CHF 900.– festzu- setzen. Da keine Vernehmlassung eingeholt worden ist und dem Beschwerde- gegner somit keine Aufwendungen bzw. Kosten erwachsen sind, entfällt die Zu- sprechung einer Entschädigung auch an ihn.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