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UE210158 vom 27. April 2022</w:t>
      </w:r>
    </w:p>
    <w:p>
      <w:r>
        <w:t>ZH Obergericht, 2022-04-27, DE</w:t>
      </w:r>
    </w:p>
    <w:p>
      <w:r>
        <w:rPr>
          <w:b/>
        </w:rPr>
        <w:t xml:space="preserve">Quelle: </w:t>
      </w:r>
      <w:r>
        <w:t>https://mcp.opencaselaw.ch/entscheid/zh_obergericht_UE210158</w:t>
      </w:r>
    </w:p>
    <w:p>
      <w:r>
        <w:t>FR: ZH_OBERGERICHT UE210158 du 27 avril 2022</w:t>
      </w:r>
    </w:p>
    <w:p>
      <w:r>
        <w:t>IT: ZH_OBERGERICHT UE210158 del 27 aprile 2022</w:t>
      </w:r>
    </w:p>
    <w:p>
      <w:pPr>
        <w:pStyle w:val="Heading2"/>
      </w:pPr>
      <w:r>
        <w:t>Erwägungen</w:t>
      </w:r>
    </w:p>
    <w:p>
      <w:r>
        <w:rPr>
          <w:b/>
        </w:rPr>
        <w:t>E. 1</w:t>
      </w:r>
    </w:p>
    <w:p>
      <w:r>
        <w:t>A._____ erstattete am 27. Februar 2020 Strafanzeige gegen B._____ wegen (versuchter) Nötigung. Sie habe ihm gedroht, sie werde erst wieder mit ihm zu- sammenwohnen, wenn er ihr ein Kind mache (Urk. 23/1). Die Staatsanwaltschaft Zürich-Sihl erliess am 5. Mai 2021 eine Einstellungsverfügung (Urk. 3).</w:t>
      </w:r>
    </w:p>
    <w:p>
      <w:r>
        <w:rPr>
          <w:b/>
        </w:rPr>
        <w:t>E. 2</w:t>
      </w:r>
    </w:p>
    <w:p>
      <w:r>
        <w:t>A._____ erhebt Beschwerde beim Obergericht des Kantons Zürich (Urk. 2 sowie Ergänzung in Urk. 10). Er beantragt die Aufhebung der Einstellungsverfü- gung. Die Staatsanwaltschaft sei anzuhalten, das Strafverfahren fortzuführen. Mit Verfügung vom 2. Juni 2021 verlangte die Verfahrensleitung der Beschwer- deinstanz von A._____ eine Sicherheitsleistung (Art. 383 StPO; Urk. 13). Am 22. Juni 2021 ersuchte A._____ um Befreiung von den Gerichtskosten. Ihm sei in der Person von Rechtsanwalt lic. iur. X._____ ein unentgeltlicher Rechtsbeistand zu bestellen (Urk. 16). In der Folge wurde A._____ die Leistung der Sicherheitsleis- tung abgenommen. Das Obergericht hat die Akten der Staatsanwaltschaft beige- zogen (Urk. 20 und Urk. 23) und auf das Einholen von Stellungnahmen verzichtet (Art. 390 Abs. 2 StPO).</w:t>
      </w:r>
    </w:p>
    <w:p>
      <w:r>
        <w:rPr>
          <w:b/>
        </w:rPr>
        <w:t>E. 3</w:t>
      </w:r>
    </w:p>
    <w:p>
      <w:r>
        <w:t>Infolge der Ferienabwesenheit eines Richters sowie infolge einer längeren unvorhergesehenen Abwesenheit eines Mitglieds des Spruchkörpers ergeht der vorliegende Entscheid in Nachachtung des Beschleunigungsgebots teilweise in einer anderen Besetzung als den Parteien angekündigt (Urk. 13). II. 1. Angefochten ist eine Einstellungsverfügung der Staatsanwaltschaft. Dage- gen ist die Beschwerde beim Obergericht zulässig (Art. 322 Abs. 2 und Art. 393 Abs. 1 lit. a StPO sowie § 49 GOG). Die Eintretensvoraussetzungen geben zu keinen Bemerkungen Anlass. Auf die Beschwerde ist einzutreten.</w:t>
      </w:r>
    </w:p>
    <w:p>
      <w:r>
        <w:t>- 3 - 2. Eine Verfahrenseinstellung hat nach Art. 319 Abs. 1 lit. a und b StPO unter anderem zu erfolgen, wenn kein Tatverdacht erhärtet ist, der eine Anklage recht- fertigt, oder wenn kein Straftatbestand erfüllt ist. Der Entscheid über die Einstel- lung eines Verfahrens hat sich nach dem Grundsatz "in dubio pro duriore" zu rich- ten. Das Verfahren darf grundsätzlich nur bei klarer Straflosigkeit oder offensicht- 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der Beurteilung dieser Fragen verfügen die Staatsan- waltschaft und die Beschwerdeinstanz über einen gewissen Spielraum (Urteil des Bundesgerichts 6B_1359/2020 vom 15. Februar 2022 E. 2.3 mit Hinweisen).</w:t>
      </w:r>
    </w:p>
    <w:p>
      <w:r>
        <w:rPr>
          <w:b/>
        </w:rPr>
        <w:t>E. 3.1</w:t>
      </w:r>
    </w:p>
    <w:p>
      <w:r>
        <w:t>Der Nötigung nach Art. 181 StGB macht sich strafbar, wer jemanden durch Gewalt oder Androhung ernstlicher Nachteile oder durch andere Beschränkung seiner Handlungsfreiheit nötigt, etwas zu tun, zu unterlassen oder zu dulden. Schutzobjekt von Art. 181 StGB ist die Freiheit der Willensbildung und Willensbe- tätigung des Einzelnen. Bei der Androhung ernstlicher Nachteile stellt der Täter dem Opfer ein Übel in Aussicht, dessen Eintritt er als von seinem Willen abhängig erscheinen lässt. Ernstlich sind Nachteile, wenn ihre Androhung nach einem ob- jektiven Massstab geeignet ist, auch eine besonnene Person in der Lage des Be- troffenen gefügig zu machen und so seine Freiheit der Willensbildung oder - betätigung zu beschränken. Die Drohung muss eine gewisse Intensität aufweisen, die sich nach objektiven Kriterien und den Umständen des Einzelfalls bestimmt. Misslingt die Bestimmung von Willensbildung oder -betätigung, bleibt es beim Versuch (Urteil des Bundesgerichts 6B_150/2021 vom 11. Januar 2022 E. 2.3). Art. 181 StGB ist ein Erfolgsdelikt; die Anwendung des Nötigungsmittels muss den Betroffenen in seiner Handlungsfreiheit beeinträchtigen. Die Tatbestandsvari- ante der "anderen Beschränkung der Handlungsfreiheit" ist restriktiv auszulegen. Nicht jeder noch so geringfügige Druck auf die Entscheidungsfreiheit eines ande-</w:t>
      </w:r>
    </w:p>
    <w:p>
      <w:r>
        <w:t>- 4 - ren führt zu einer Bestrafung nach Art. 181 StGB.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ihm mithin eine den gesetzlich genannten Mitteln vergleichbare Zwangswirkung zukommen. Eine Nö- 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(Urteil des Bundesgerichts 6B_906/2021 vom 8. November 2021 E. 3.1).</w:t>
      </w:r>
    </w:p>
    <w:p>
      <w:r>
        <w:rPr>
          <w:b/>
        </w:rPr>
        <w:t>E. 3.2</w:t>
      </w:r>
    </w:p>
    <w:p>
      <w:r>
        <w:t>Nach der Darstellung des Beschwerdeführers gab es in der Ehe zwischen ihm und der Beschwerdegegnerin 1 immer wieder Differenzen. Er ist offenbar im April 2019 aus der ehelichen Wohnung ausgezogen (vgl. Urk. 2 S. 3 ff. und Urk. 23/1 S. 3). Er sei jedoch willens gewesen, die Beziehung wieder aufzunehmen, wobei ihm die Beschwerdegegnerin 1 aber gesagt habe, dass sie erst wieder mit ihm zusammenwohnen werde, wenn er ihr ein Kind mache (Urk. 2 S. 5 und Urk. 23/1 S. 4). Der Beschwerdeführer behauptet, das Mittel der Drohung sei unerlaubt (Urk. 2 S. 6). Er begründet jedoch nicht, weshalb die Androhung, eine Ehefrau wolle ein Kind, ansonsten sie offenbar den gemeinsamen Haushalt bzw. die Beziehung be- enden will, unerlaubt bzw. rechtswidrig sein soll. Es ist nicht unerlaubt, von sei- nem Ehepartner ein Kind zu wollen und ansonsten die Beziehung zu diesem wie- der aufzulösen. Daran ändert nichts, wenn die Ehefrau allenfalls aus physischen oder psychischen Gründen nicht in der Lage ist, schwanger zu werden (vgl. dazu Urk. 2 S. 3 f.). Ist dem Beschwerdeführer nach seiner eigenen Darstellung be- kannt, dass die Beschwerdegegnerin 1 allenfalls aus psychischen oder physi- schen Gründen keine Kinder haben kann, sie aber dennoch eines von ihm ver- langt, so ist der Wunsch unerfüllbar und die Aussage allenfalls als Ansage zur Auflösung der ehelichen Gemeinschaft zu verstehen. Das ist weder rechtswidrig noch unerlaubt. Daran ändert auch nichts, dass das Aufenthaltsrecht des Be-</w:t>
      </w:r>
    </w:p>
    <w:p>
      <w:r>
        <w:t>- 5 - schwerdeführers mit dem Bestand der Ehe zusammenhängen soll. Der Be- schwerdegegnerin 1 wäre es dennoch erlaubt, ihren Kinderwunsch zu äussern und sich bei Ablehnung dieses Wunsches zu trennen. Inwiefern das Verhältnis zwischen dem Mittel und dem Zweck rechtsmissbräuch- lich oder sittenwidrig sein soll, wie der Beschwerdeführer behauptet (Urk. 2 S. 6), erschliesst sich nicht. Auch wenn die Beschwerdegegnerin 1 weiss, dass der Be- schwerdeführer aufgrund der entstandenen Situation momentan psychisch aus- serstande ist, mit ihr ein Kind zu zeugen (Urk. 2 S. 6), ist die Forderung nicht un- erlaubt oder sittenwidrig.</w:t>
      </w:r>
    </w:p>
    <w:p>
      <w:r>
        <w:rPr>
          <w:b/>
        </w:rPr>
        <w:t>E. 4.1</w:t>
      </w:r>
    </w:p>
    <w:p>
      <w:r>
        <w:t>Die Beschwerde ist abzuweisen. Der Beschwerdeführer unterliegt im Be- schwerdeverfahren. Er hat an sich die Kosten des Beschwerdeverfahrens zu tra- gen (Art. 428 Abs. 1 StPO). Der Beschwerdeführer ersucht um Gewährung der unentgeltlichen Rechtspflege (Urk. 16). Die Beschwerde ist nach dem Gesagten offensichtlich aussichtslos, da keine strafbare Handlung der Beschwerdegegnerin 1 ersichtlich ist. Damit ist eine der Voraussetzungen zur Gewährung der unentgeltlichen Rechtspflege nicht er- füllt (vgl. Art. 29 Abs. 3 BV). Das Gesuch um unentgeltliche Prozessführung und Bestellung eines unentgeltlichen Rechtsbeistands für das Beschwerdeverfahren ist daher abzuweisen. Angesichts der Bedeutung und Schwierigkeit des Fall sowie des Zeitaufwands des Gerichts ist die Gerichtsgebühr für das Beschwerdeverfahren auf Fr. 800.-- festzusetzen (§ 17 Abs. 1 und § 2 Abs. 1 GebV OG).</w:t>
      </w:r>
    </w:p>
    <w:p>
      <w:r>
        <w:rPr>
          <w:b/>
        </w:rPr>
        <w:t>E. 4.2</w:t>
      </w:r>
    </w:p>
    <w:p>
      <w:r>
        <w:t>Da der Beschwerdeführer unterliegt, ist er für das Beschwerdeverfahren nicht zu entschädigen. Die Beschwerdegegnerin 1 wurde nicht zur Stellungnahme eingeladen, weshalb ihr mangels wesentlicher Aufwendungen keine Entschädi- gung für das Beschwerdeverfahren zuzusprechen ist.</w:t>
      </w:r>
    </w:p>
    <w:p>
      <w:r>
        <w:t>- 6 -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