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UE210105 vom 13. Oktober 2021</w:t>
      </w:r>
    </w:p>
    <w:p>
      <w:r>
        <w:t>ZH Obergericht, 2021-10-13, DE</w:t>
      </w:r>
    </w:p>
    <w:p>
      <w:r>
        <w:rPr>
          <w:b/>
        </w:rPr>
        <w:t xml:space="preserve">Quelle: </w:t>
      </w:r>
      <w:r>
        <w:t>https://mcp.opencaselaw.ch/entscheid/zh_obergericht_UE210105</w:t>
      </w:r>
    </w:p>
    <w:p>
      <w:r>
        <w:t>FR: ZH_OBERGERICHT UE210105 du 13 octobre 2021</w:t>
      </w:r>
    </w:p>
    <w:p>
      <w:r>
        <w:t>IT: ZH_OBERGERICHT UE210105 del 13 ottobre 2021</w:t>
      </w:r>
    </w:p>
    <w:p>
      <w:pPr>
        <w:pStyle w:val="Heading2"/>
      </w:pPr>
      <w:r>
        <w:t>Erwägungen</w:t>
      </w:r>
    </w:p>
    <w:p>
      <w:r>
        <w:rPr>
          <w:b/>
        </w:rPr>
        <w:t>E. 1</w:t>
      </w:r>
    </w:p>
    <w:p>
      <w:r>
        <w:t>Am 1. März 2021 stellte B._____ Strafantrag gegen A._____ wegen Tätlich- keiten und Beschimpfung (Urk. 6/2); A._____ wiederum stellte Strafantrag gegen B._____ wegen Tätlichkeiten (Urk. 6/3). Aufgrund des Sachzusammenhangs der beiden Verfahren übernahm die Staatsanwaltschaft Limmattal/Albis vom Statthal- teramt des Bezirks Horgen auch das Verfahren betreffend den Beschuldigten B._____ (Urk. 6/5/1-2). Am 23. März 2021 verfügte die Staatsanwaltschaft Limmattal/Albis (nachfolgend: Staatsanwaltschaft) bezüglich beider Strafanzeigen gestützt auf Art. 177 Abs. 3 StGB die Nichtanhandnahme einer Strafuntersuchung (Urk. 6/6, Urk. 3 = Urk. 6/7).</w:t>
      </w:r>
    </w:p>
    <w:p>
      <w:r>
        <w:rPr>
          <w:b/>
        </w:rPr>
        <w:t>E. 2</w:t>
      </w:r>
    </w:p>
    <w:p>
      <w:r>
        <w:t>Mit Eingabe vom Montag, 12. April 2021 erhob A._____ (nachfolgend: Be- schwerdeführer) fristgerecht Beschwerde gegen die ihm am 1. April 2021 zuge- stellte Nichtanhandnahmeverfügung betreffend den Beschuldigten B._____ (nachfolgend: Beschwerdegegner; Urk. 6/8) und beantragte deren Aufhebung (Urk. 2).</w:t>
      </w:r>
    </w:p>
    <w:p>
      <w:r>
        <w:rPr>
          <w:b/>
        </w:rPr>
        <w:t>E. 3</w:t>
      </w:r>
    </w:p>
    <w:p>
      <w:r>
        <w:t>Mit Schreiben vom 16. April 2021 wurden die Untersuchungsakten beigezo- gen (Urk. 5, Urk. 6). Innert mit Verfügung vom 28. April 2021 angesetzter Frist ging daraufhin die Prozesskaution in Höhe von Fr. 1'800.00 ein (Urk. 8, Urk. 10). Die Staatsanwaltschaft verzichtete in der Folge am 25. Juni 2021 auf eine Stel- lungnahme (Urk. 13). Der Beschwerdegegner beantragte mit Eingabe vom 5. Juli 2021 sinngemäss die Abweisung der Beschwerde (Urk. 15). Der Beschwerdefüh- rer replizierte daraufhin am 23. Juli 2021 (Urk. 18). Nach entsprechender Fristan- setzung (Urk. 20) verzichtete die Staatsanwaltschaft am 4. August 2021 erneut auf eine Stellungnahme (Urk. 21); der Beschwerdegegner liess sich innert Frist nicht vernehmen (Urk. 23).</w:t>
      </w:r>
    </w:p>
    <w:p>
      <w:r>
        <w:rPr>
          <w:b/>
        </w:rPr>
        <w:t>E. 4</w:t>
      </w:r>
    </w:p>
    <w:p>
      <w:r>
        <w:t>Die Verfahrensleitung der Beschwerdeinstanz ist zur Beurteilung der Be- schwerde zuständig, da ausschliesslich eine Übertretung Gegenstand des Verfah- rens ist (Art. 395 lit. a StPO).</w:t>
      </w:r>
    </w:p>
    <w:p>
      <w:r>
        <w:t>- 3 -</w:t>
      </w:r>
    </w:p>
    <w:p>
      <w:r>
        <w:rPr>
          <w:b/>
        </w:rPr>
        <w:t>E. 5</w:t>
      </w:r>
    </w:p>
    <w:p>
      <w:r>
        <w:t>Zusammenfassend ist die Beschwerde abzuweisen, soweit auf sie einzutre- 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