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UE200271 vom 26. August 2021</w:t>
      </w:r>
    </w:p>
    <w:p>
      <w:r>
        <w:t>ZH Obergericht, 2021-08-26, DE</w:t>
      </w:r>
    </w:p>
    <w:p>
      <w:r>
        <w:rPr>
          <w:b/>
        </w:rPr>
        <w:t xml:space="preserve">Quelle: </w:t>
      </w:r>
      <w:r>
        <w:t>https://mcp.opencaselaw.ch/entscheid/zh_obergericht_UE200271</w:t>
      </w:r>
    </w:p>
    <w:p>
      <w:r>
        <w:t>FR: ZH_OBERGERICHT UE200271 du 26 août 2021</w:t>
      </w:r>
    </w:p>
    <w:p>
      <w:r>
        <w:t>IT: ZH_OBERGERICHT UE200271 del 26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vom 30. Juli 2020 nahm die Staatsanwaltschaft Winterthur/- Unterland (nachfolgend: Staatsanwaltschaft) eine Strafuntersuchung gegen B._____ (nachfolgend: Beschwerdegegner 1) betreffend Betrug etc. zum Nachteil von A._____ (nachfolgend: Beschwerdeführerin) nicht an die Hand (Urk. 3).</w:t>
      </w:r>
    </w:p>
    <w:p>
      <w:r>
        <w:rPr>
          <w:b/>
        </w:rPr>
        <w:t>E. 2</w:t>
      </w:r>
    </w:p>
    <w:p>
      <w:r>
        <w:t>Hiergegen erhob die Beschwerdeführerin innert Frist Beschwerde und bean- tragte sinngemäss, die Beschwerde sei gutzuheissen, und es sei gegen den Be- schwerdegegner 1 eine Strafuntersuchung wegen Betrugs/Erpressung zu eröff- nen (Urk. 2). Am 18. September 2020 reichte die Beschwerdeführerin einen Nachtrag zur Beschwerde ein (Urk. 7).</w:t>
      </w:r>
    </w:p>
    <w:p>
      <w:r>
        <w:rPr>
          <w:b/>
        </w:rPr>
        <w:t>E. 3</w:t>
      </w:r>
    </w:p>
    <w:p>
      <w:r>
        <w:t>Innert der mit Verfügung vom 20. August 2020 angesetzten Frist leistete die Beschwerdeführerin eine Prozesskaution von Fr. 1'000.– (Urk. 5, 10).</w:t>
      </w:r>
    </w:p>
    <w:p>
      <w:r>
        <w:rPr>
          <w:b/>
        </w:rPr>
        <w:t>E. 4</w:t>
      </w:r>
    </w:p>
    <w:p>
      <w:r>
        <w:t>Da sich die Beschwerde sofort als unbegründet erweist, kann in Anwendung von Art. 390 Abs. 2 StPO auf das Einholen von Stellungnahmen der Staatsan- waltschaft sowie des Beschwerdegegners 1 verzichtet werden.</w:t>
      </w:r>
    </w:p>
    <w:p>
      <w:r>
        <w:rPr>
          <w:b/>
        </w:rPr>
        <w:t>E. 5</w:t>
      </w:r>
    </w:p>
    <w:p>
      <w:r>
        <w:t>Aus obigen Ausführungen ergibt sich, dass die Staatsanwaltschaft die Straf- untersuchung gegen den Beschwerdegegner 1 zu Recht nicht an die Hand ge- nommen hat. Die Beschwerdeführerin brachte nichts vor, das an dieser Beurtei- lung etwas zu ändern vermöchte. Die Beschwerde ist somit abzuweisen. IV.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