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UE200169 vom 28. Juni 2021</w:t>
      </w:r>
    </w:p>
    <w:p>
      <w:r>
        <w:t>ZH Obergericht, 2021-06-28, DE</w:t>
      </w:r>
    </w:p>
    <w:p>
      <w:r>
        <w:rPr>
          <w:b/>
        </w:rPr>
        <w:t xml:space="preserve">Quelle: </w:t>
      </w:r>
      <w:r>
        <w:t>https://mcp.opencaselaw.ch/entscheid/zh_obergericht_UE200169</w:t>
      </w:r>
    </w:p>
    <w:p>
      <w:r>
        <w:t>FR: ZH_OBERGERICHT UE200169 du 28 juin 2021</w:t>
      </w:r>
    </w:p>
    <w:p>
      <w:r>
        <w:t>IT: ZH_OBERGERICHT UE200169 del 28 giugno 2021</w:t>
      </w:r>
    </w:p>
    <w:p>
      <w:pPr>
        <w:pStyle w:val="Heading2"/>
      </w:pPr>
      <w:r>
        <w:t>Erwägungen</w:t>
      </w:r>
    </w:p>
    <w:p>
      <w:r>
        <w:rPr>
          <w:b/>
        </w:rPr>
        <w:t>E. 1</w:t>
      </w:r>
    </w:p>
    <w:p>
      <w:r>
        <w:t>Am 21. April 2020 nahm die Staatsanwaltschaft I des Kantons Zürich (Be- schwerdegegnerin 2; nachfolgend: Staatsanwaltschaft) eine von A._____ (fortan: Beschwerdeführer) gegen seine Ex-Ehefrau B._____ (nachfolgend: Beschwerde- gegnerin 1) erhobene Strafanzeige betreffend Nötigung und falsche Anschuldi- gung nicht an die Hand (Urk. 4 [bzw. Urk. 3/12 bzw. Urk. 9/10]). Dagegen erhob der Beschwerdeführer (persönlich) zusammen bzw. im Rahmen eines Gesuchs um unentgeltliche Rechtspflege vom 8. Mai 2020 sinngemäss Beschwerde. So- weit besagte Eingabe als Beschwerde zu verstehen ist, beantragt er sinngemäss, die genannte Verfügung sei aufzuheben und die Sache sei zur Neubeurteilung an die Staatsanwaltschaft zurückzuweisen. Ferner ersucht er – wie erwähnt – um Gewährung der unentgeltlichen Rechtspflege (Urk. 2).</w:t>
      </w:r>
    </w:p>
    <w:p>
      <w:r>
        <w:rPr>
          <w:b/>
        </w:rPr>
        <w:t>E. 2</w:t>
      </w:r>
    </w:p>
    <w:p>
      <w:r>
        <w:t>Gemäss Art. 310 Abs. 1 StPO verfügt die Staatsanwaltschaft die Nichtan- handnahme, sobald aufgrund der Strafanzeige oder des Polizeirapports feststeht, dass: a) die fraglichen Straftatbestände oder die Prozessvoraussetzungen ein- deutig nicht erfüllt sind; b) Verfahrenshindernisse bestehen; c) aus den in Art. 8 StPO genannten Gründen auf eine Strafverfolgung zu verzichten ist. Die Frage, ob ein Strafverfahren über eine Nichtanhandnahme erledigt wer- den kann, beurteilt sich nach dem aus dem Legalitätsprinzip abgeleiteten Grund- satz "in dubio pro duriore" (Art. 5 Abs. 1 BV und Art. 2 Abs. 1 i. V. m. Art. 319 Abs. 1 und Art. 324 Abs. 1 StPO). Danach darf eine Nichtanhandnahme durch die Staatsanwaltschaft gestützt auf Art. 310 Abs. 1 lit. a StPO nur in sachverhalts- mässig und rechtlich klaren Fällen ergehen, so bei offensichtlicher Straflosigkeit, wenn der Sachverhalt mit Sicherheit nicht unter einen Straftatbestand fällt, oder bei eindeutig fehlenden Prozessvoraussetzungen. Eine Nichtanhandnahmeverfü- gung kann auch bei Fehlen eines zureichenden Verdachts erlassen werden. Im Zweifelsfall, wenn die Gründe der Nichtanhandnahme nicht mit absoluter Sicher- heit gegeben sind, muss das Verfahren eröffnet werden. Der Grundsatz "in dubio pro duriore" ist unter Würdigung der im Einzelfall gegebenen Umstände zu hand- haben. Die Staatsanwaltschaft und die Beschwerdeinstanz verfügen insoweit über einen gewissen Spielraum (Urteile des Bundesgerichts 6B_810/2020 vom 14. September 2020 E. 2.1 und 6B_929/2015 vom 7. April 2016 E. 2.2.1., je mit Hinweisen). Stehen sich gegensätzliche Aussagen der Parteien gegenüber und liegen keine objektiven Beweise vor, kann ausnahmsweise auf eine Anklage verzichtet werden, wenn es nicht möglich ist, die einzelnen Aussagen als glaubhafter oder weniger glaubhaft zu bewerten und keine weiteren Beweisergebnisse zu erwarten sind (BGE 143 IV 241 E. 2.2.2; Urteile des Bundesgerichts 6B_806/2015 vom 1. Februar 2016 E. 2.3 und 6B_856/2013 vom 3. April 2014 E. 2.2).</w:t>
      </w:r>
    </w:p>
    <w:p>
      <w:r>
        <w:rPr>
          <w:b/>
        </w:rPr>
        <w:t>E. 3</w:t>
      </w:r>
    </w:p>
    <w:p>
      <w:r>
        <w:t>- 4 -</w:t>
      </w:r>
    </w:p>
    <w:p>
      <w:r>
        <w:rPr>
          <w:b/>
        </w:rPr>
        <w:t>E. 3.1</w:t>
      </w:r>
    </w:p>
    <w:p>
      <w:r>
        <w:t>Die vorliegend strittigen Vorwürfe erhob der Beschwerdeführer im Rah- men eines gegen ihn geführten, von der Beschwerdegegnerin 1 Ende Januar 2017 (Urk. 13/D1/1/1) initiierten Strafverfahrens, wonach er diese im Anschluss an die Eheschliessung vom tt. Oktober 2016 – zwischen dem 1. November 2016 und dem 5. Januar 2017 – mehrfach zum Geschlechtsverkehr gezwungen, sie ein- bis zweimal geschlagen und ihr mit Schlägen, Scheidung, Tod und Ausschaf- fung gedroht haben soll, sollte sie jemandem von den Vorfällen in der Ehe erzäh- len (vgl. Urk. 4; Urk. 9/1). Jenes Strafverfahren stellte die (damalige) Staatsan- waltschaft IV des Kantons Zürich mit Verfügung vom 16. Februar 2018 ein (Urk. 13/19 [bzw. Urk. 9/2/1]), welcher Entscheid mit Beschluss der hiesigen Kammer vom 17. September 2018 aufgehoben wurde (Urk. 13/24/6; Geschäfts- Nr. UE180076). Nach ergänzenden Untersuchungshandlungen (vgl. Urk. 13/24) erhob die Staatsanwaltschaft daraufhin am 12. August 2019 Anklage beim Be- zirksgericht Horgen (Urk. 13/26/3), das den Beschwerdeführer mit (soweit ersicht- lich unbegründet gebliebenem) Urteil vom 20. Januar 2020 vollumfänglich frei- sprach (Urk. 9/7 [bzw. Urk. 13/62]).</w:t>
      </w:r>
    </w:p>
    <w:p>
      <w:r>
        <w:rPr>
          <w:b/>
        </w:rPr>
        <w:t>E. 3.2</w:t>
      </w:r>
    </w:p>
    <w:p>
      <w:r>
        <w:t>Der Beschluss der Kammer vom 17. September 2018, Geschäfts- Nr. UE180076, führt dabei anschaulich vor Augen, dass betreffend die Vorwürfe der Vergewaltigung, Drohung und Tätlichkeiten, derer der Beschwerdeführer von der Beschwerdegegnerin 1 im Sinne von Art. 303 Ziff. 1 StGB wider besseres Wissen falsch angeschuldigt worden sein will, eine "Aussage gegen Aussage"- Situation vorliegt, bei der die Aussagen der Beschwerdegegnerin 1 nicht als we- niger glaubhaft zu qualifizieren sind als diejenigen des Beschwerdeführers. Eben- so bestehen keine objektiven Beweise, die den Beschwerdeführer entlasten wür- den (vgl. Urk. 13/24/6 S. 12 ff.). Daran hat sich – trotz der ergänzenden Untersu- chungshandlungen – nichts geändert. So hielt die Beschwerdegegnerin 1 am</w:t>
      </w:r>
    </w:p>
    <w:p>
      <w:r>
        <w:rPr>
          <w:b/>
        </w:rPr>
        <w:t>E. 3.3</w:t>
      </w:r>
    </w:p>
    <w:p>
      <w:r>
        <w:t>Zusammenfassend besteht folglich kein zureichender Verdacht, die Be- schwerdegegnerin 1 hätte sich der falschen Anschuldigung im Sinne von Art. 303 Ziff. 1 StGB und der Nötigung gemäss Art. 181 StGB schuldig gemacht, weshalb die Staatsanwaltschaft zu Recht keine Strafuntersuchung eröffnete. Daran ändert auch der erwähnte Freispruch des Beschwerdeführers nichts. Die angefochtene Nichtanhandnahmeverfügung ist zu schützen und die Beschwerde abzuweisen.</w:t>
      </w:r>
    </w:p>
    <w:p>
      <w:r>
        <w:rPr>
          <w:b/>
        </w:rPr>
        <w:t>E. 4</w:t>
      </w:r>
    </w:p>
    <w:p>
      <w:r>
        <w:t>Der Beschwerdeführer ersucht um Gewährung der unentgeltlichen Rechtspflege (Urk. 2). Seine Beschwerde bzw. Zivilklage erscheint indes als von vornherein aussichtslos (vgl. Art. 136 Abs. 1 lit. b StPO und Art. 29 Abs. 3 BV). Der entsprechende Antrag ist daher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