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UE200136 vom 1. Juni 2021</w:t>
      </w:r>
    </w:p>
    <w:p>
      <w:r>
        <w:t>ZH Obergericht, 2021-06-01, DE</w:t>
      </w:r>
    </w:p>
    <w:p>
      <w:r>
        <w:rPr>
          <w:b/>
        </w:rPr>
        <w:t xml:space="preserve">Quelle: </w:t>
      </w:r>
      <w:r>
        <w:t>https://mcp.opencaselaw.ch/entscheid/zh_obergericht_UE200136</w:t>
      </w:r>
    </w:p>
    <w:p>
      <w:r>
        <w:t>FR: ZH_OBERGERICHT UE200136 du 1 juin 2021</w:t>
      </w:r>
    </w:p>
    <w:p>
      <w:r>
        <w:t>IT: ZH_OBERGERICHT UE200136 del 1 giugno 2021</w:t>
      </w:r>
    </w:p>
    <w:p>
      <w:pPr>
        <w:pStyle w:val="Heading2"/>
      </w:pPr>
      <w:r>
        <w:t>Erwägungen</w:t>
      </w:r>
    </w:p>
    <w:p>
      <w:r>
        <w:rPr>
          <w:b/>
        </w:rPr>
        <w:t>E. 1</w:t>
      </w:r>
    </w:p>
    <w:p>
      <w:r>
        <w:t>Am 16. April 2019 erstattete die Stadt A._____ Strafanzeige gegen B._____ wegen Betrugs (Art. 146 StGB), eventualiter wegen unrechtmässigen Bezugs von Leistungen der Sozialhilfe (Art. 148a StGB), subeventualiter wegen Widerhand- lung gegen § 48a des Sozialhilfegesetzes des Kantons Zürich (SHG; LS ZH 851.1) bei der Staatsanwaltschaft Limmattal/Albis. Die Stadt A._____ wirft B._____ vor, die Sozialbehörden über Einnahmen in der Höhe von insgesamt Fr. 1'611.95 nicht informiert zu haben, welche im Rahmen des Wiederholungsantrags im Juni 2018 auf dem Konto der PostFinance von B._____ entdeckt worden seien (Urk. 15/1). Am 30. März 2020 erliess die Staatsanwaltschaft Limmattal/Albis eine Nichtan- handnahmeverfügung (Urk. 5).</w:t>
      </w:r>
    </w:p>
    <w:p>
      <w:r>
        <w:rPr>
          <w:b/>
        </w:rPr>
        <w:t>E. 2</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 handnahmeverfügung oder einen Strafbefehl erlässt (Art. 309 Abs. 4 StPO). Ge- mäss Art. 310 Abs. 1 StPO verfügt die Staatsanwaltschaft die Nichtanhand- 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grundsätzlich nach dem aus dem Legalitätsprinzip abgeleiteten Grundsatz "in dubio pro duriore". Eine Nichtanhandnahme darf nur in sach- verhaltsmässig und rechtlich klaren Fällen ergehen. Es muss sicher feststehen, dass der Sachverhalt unter keinen Straftatbestand fällt. Im Zweifelsfall ist eine Un- tersuchung zu eröffnen (BGE 137 IV 285 E. 2.3; Urteile des Bundesgerichts 6B_929/2015 vom 7. April 2016 E. 2.2.1; 6B_544/2016 vom 17. November 2016 E. 3.1; 6B_1053/2015 vom 25. November 2016 E. 4.2.1; 6B_635/2018 vom 24. Oktober 2018 E. 2.1.2; 6B_1202/2018 vom 11. Januar 2019 E. 2.1; 6B_274/2019 vom 28. Februar 2020 E. 2.3; je mit Hinweisen).</w:t>
      </w:r>
    </w:p>
    <w:p>
      <w:r>
        <w:t>- 4 -</w:t>
      </w:r>
    </w:p>
    <w:p>
      <w:r>
        <w:rPr>
          <w:b/>
        </w:rPr>
        <w:t>E. 3</w:t>
      </w:r>
    </w:p>
    <w:p>
      <w:r>
        <w:t>Die Staatsanwaltschaft erwog in der angefochtenen Verfügung, der Be- schwerdegegner 1 habe geltend gemacht, beim fraglichen Betrag handle es sich nicht um Einnahmen, sondern um Vermögen, das er bereits vorher in anderer Form besessen habe. Bei Fr. 1'400.-- handle es sich um eine Rückzahlung eines privaten Darlehens. Bei den restlichen Fr. 211.95 handle es sich um Münzgeld, welches der Beschwerdegegner 1 jeden Abend aus seiner Brieftasche genom- men und in einem Glas gesammelt habe, um es in regelmässigen Abständen wieder auf sein Konto einzuzahlen. Das PostFinance Konto des Beschwerdegeg- ners 1 sei den Sozialbehörden seit dem Jahr 2016 bekannt gewesen und die So- zialbehörden hätten jederzeit die Möglichkeit gehabt, die Bankunterlagen des Be- schwerdegegners 1 zu prüfen. Insgesamt sei somit kein arglistiges Handeln des Beschwerdegegners 1 ersichtlich, weshalb der Tatbestand des Betrugs nicht er- füllt sei. Die Herkunft des Münzgeldes lasse sich nicht eruieren. Es fehle diesbe- züglich an objektivierbaren Beweismitteln oder unbeteiligten Tatzeugen, weshalb der objektive Tatbestand von Art. 148a StGB nicht erstellt werden könne. Bezüg- lich der Darlehensforderung habe es der Beschwerdegegner 1 im Jahr 2017 un- terlassen, die Sozialbehörden über die offene Darlehensforderung zu informieren. Er habe insofern seine Vermögenswerte nicht korrekt angegeben, wodurch bei den Sozialbehörden ein Irrtum über die finanziellen Verhältnisse entstanden sei. Der Beschwerdegegner 1 habe angegeben, dass er vergessen habe, die Darle- hensforderung schriftlich mit einem Darlehensvertrag zu dokumentieren. Er habe daher auch vergessen, die Forderung als Vermögen bei den Sozialbehörden an- zugeben. Das erscheine plausibel. Hätte er das Darlehen bewusst verschweigen wollen, hätte er das Bargeld aus der Rückzahlung des Darlehens wohl nicht auf ein den Sozialbehörden bekanntes Konto einbezahlt, da er gewusst habe, dass die Kontoauszüge kontrolliert werden. Es lasse sich nicht anklagegenügend er- stellen, dass der Beschwerdegegner 1 den Bezug von zu viel Sozialhilfe bewusst in Kauf genommen habe. Da ein fahrlässiges Verhalten im Sinne von Art. 148a StGB nicht strafbar sei, fehle es am subjektiven Tatbestand, weshalb der Tatbe- stand von Art. 148a StGB insgesamt nicht erfüllt sei (Urk. 5).</w:t>
      </w:r>
    </w:p>
    <w:p>
      <w:r>
        <w:t>- 5 -</w:t>
      </w:r>
    </w:p>
    <w:p>
      <w:r>
        <w:rPr>
          <w:b/>
        </w:rPr>
        <w:t>E. 4.1</w:t>
      </w:r>
    </w:p>
    <w:p>
      <w:r>
        <w:t>Gemäss Art. 146 Abs. 1 StGB macht sich des Betrugs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Die Täuschung muss zudem arglistig sein. Arglist ist nach ständiger Rechtsprechung gegeben, wenn der Täter ein gan- 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 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Dies gilt nach der Rechtsprechung auch im Bereich der Sozialhilfe. Die Behörde handelt leichtfertig, wenn sie die eingereich- 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 erwähnten Unterlagen keine oder voraussichtlich keine Hinwei- se auf nicht deklarierte Einkommens- und Vermögenswerte enthalten (Urteil des Bundesgerichts 6B_9/2020 vom 29. Juni 2020 E. 2.2.2 mit Hinweisen). Wer je- manden durch unvollständige Angaben, Verschweigen von Tatsachen oder in an- derer Weise irreführt, sodass er oder ein anderer Leistungen einer Sozialversiche-</w:t>
      </w:r>
    </w:p>
    <w:p>
      <w:r>
        <w:t>- 6 - rung oder der Sozialhilfe bezieht, die ihm oder dem andern nicht zustehen, bzw. dadurch unrechtmässig Leistungen nach dem Sozialhilfegesetz des Kantons Zü- rich erwirkt, erfüllt die Tatbestände von 148a StGB bzw. § 48a SHG/ZH.</w:t>
      </w:r>
    </w:p>
    <w:p>
      <w:r>
        <w:rPr>
          <w:b/>
        </w:rPr>
        <w:t>E. 4.2</w:t>
      </w:r>
    </w:p>
    <w:p>
      <w:r>
        <w:t>Der Beschwerdegegner 1 bezog seit Dezember 2016 mit Unterbrüchen fi- nanzielle Unterstützung der Sozialbehörden. Bei seiner Anmeldung Ende 2016 gab er das Konto der PostFinance an (Urk. 3/3/2). Dieses war den Sozialbehör- den daher bekannt. Auch bei der erneuten Anmeldung im August 2017 gab der Beschwerdegegner 1 das Konto der PostFinance an (Urk. 3/3/3). Im Rahmen ei- nes Wiederholungsantrags im Juni 2018 kontrollierte die Sozialbehörde den Zeit- raum vom 1. August 2017 bis zum 31. Juli 2018 und forderte den Beschwerde- gegner 1 auf, detaillierte Kontoauszüge der letzten 12 Monate einzureichen (Urk. 3/3/4). Aufgrund der vom Beschwerdegegner 1 eingereichten Kontoauszüge entdeckte die Sozialbehörde die angeblichen Einnahmen von insgesamt Fr. 1'611.95. Die Einzahlungen auf das PostFinance Konto erfolgten offenbar im Oktober 2017 und Februar 2018 (vgl. Urk. 3/3/6).</w:t>
      </w:r>
    </w:p>
    <w:p>
      <w:r>
        <w:rPr>
          <w:b/>
        </w:rPr>
        <w:t>E. 4.3</w:t>
      </w:r>
    </w:p>
    <w:p>
      <w:r>
        <w:t>Gemäss der angefochtenen Verfügung soll es sich bei der Einzahlung von Fr. 1'400.-- um die Barrückzahlung eines Darlehens handeln. Bei den restlichen Fr. 211.95 handle es sich um Einzahlungen von Münzgeld, welches der Be- schwerdegegner 1 jeden Abend aus seiner Brieftasche genommen, in einem Glas gesammelt und in regelmässigen Abständen wieder auf das Konto einbezahlt ha- be (Urk. 5 S. 2). Die Beschwerdeführerin äussert sich in der Beschwerde nicht ausdrücklich zum einbezahlten Münzgeld (vgl. Urk. 2). Es ist daher unbestritten, dass es sich bei den Fr. 211.95 um gesammeltes Münzgeld handelt. Hat der Beschwerdegegner 1 dieses (teilweise) vor Oktober 2017 gesammelt, so lässt sich nicht mehr eruieren, woher es konkret stammt. Inwiefern der Beschwerdegegner 1 diesbezüglich die Sozialbehörden arglistig getäuscht haben soll, ist nicht ersichtlich. Ob er im Au- gust 2017 angab, er habe kein Vermögen (vgl. dazu Urk. 2 S. 4), ist insofern nicht relevant, da sich nicht eruieren lässt, woher das Münzgeld stammt. Es ist insofern unmöglich zu beweisen, der Beschwerdegegner 1 habe im August 2017 falsche Angaben gegenüber den Sozialbehörden gemacht oder das gesammelte Münz-</w:t>
      </w:r>
    </w:p>
    <w:p>
      <w:r>
        <w:t>- 7 - geld stelle Einkommen des Beschwerdegegners 1 dar. Die Einzahlung des Münz- geldes bewirkte nach der nicht substantiiert bestrittenen Sachverhaltsdarstellung der Staatsanwaltschaft keine Veränderung der Einkommens- oder Vermögens- verhältnisse des Beschwerdegegners 1. Unter Würdigung der gesamten Umstän- de erscheint eine Verurteilung wegen Betrugs (Art. 146 StGB), unrechtmässigen Bezugs von Leistungen der Sozialhilfe (Art. 148a StGB) oder Widerhandlung ge- gen § 48a SHG/ZH ausgeschlossen, weshalb die Nichtanhandnahme insofern nicht zu beanstanden ist. Die Beschwerde ist in Bezug auf das Münzgeld unbe- gründet.</w:t>
      </w:r>
    </w:p>
    <w:p>
      <w:r>
        <w:rPr>
          <w:b/>
        </w:rPr>
        <w:t>E. 4.4</w:t>
      </w:r>
    </w:p>
    <w:p>
      <w:r>
        <w:t>Gemäss der angefochtenen Verfügung war den Sozialbehörden bzw. der Beschwerdeführerin das Konto des Beschwerdegegners 1 bei der PostFinance seit dem Jahr 2016 bekannt. Die Sozialbehörden hätten jederzeit die Möglichkeit gehabt, die Bankunterlagen des Beschwerdegegner 1 zu prüfen, weshalb keine Arglist gegeben sei (Urk. 5 S. 2). Ob das zutrifft, kann offen bleiben. Die Beschwerdeführerin behauptet in ihrer Beschwerde zwar, bei der Gutschrift von Fr. 1'400.-- handle es sich um eine "Einnahme" (Urk. 2 S. 4). Sie legt in der Folge aber nicht dar, wie sie zu diesem Schluss kommt, zumal in der Zusammen- fassung ihrer Begründung auch sie (wie gestützt auf die Darstellung durch den Beschwerdegegner 1 bereits die Staatsanwaltschaft) festhält, es habe sich dabei um die Rückzahlung eines Darlehens ("Eingang der Darlehenssumme") gehan- delt (Urk. 2 S. 6). Davon ist folglich auszugehen. Hat der Beschwerdegegner 1 die Forderung aus dem Darlehen bei der Anmeldung nicht angegeben, so hat er sein Vermögen nicht vollständig deklariert. Die Beschwerdeführerin macht geltend, hätte sie um die tatsächlichen Vermö- gensverhältnisse gewusst, hätte sie die entsprechenden Auszahlungen nicht ver- anlasst (Urk. 2 S. 5). Art. 146 Abs. 1 StGB setzt einen Vermögensschaden vor- aus. Geht es um eine gesetzlich vorgesehene Leistung des Staates, so kann ein Schaden nur vorliegen, wenn die Leistung verweigert worden oder geringer aus- gefallen wäre (vgl. dazu Urteil des Bundesgerichts 6B_152/2020 vom 1. April 2020 E. 3.5.1). Das Vermögen des Beschwerdegegners 1 wäre nach dem Gesag- ten um Fr. 1'400.-- höher gewesen. Gemäss § 17 Abs. 1 SHV/ZH (LS ZH 851.11)</w:t>
      </w:r>
    </w:p>
    <w:p>
      <w:r>
        <w:t>- 8 - bemisst sich die wirtschaftliche Hilfe nach den Richtlinien der Schweizerischen Konferenz für Sozialhilfe (SKOS-Richtlinien). Diese sehen für Einzelpersonen ei- nen Vermögensfreibetrag von Fr. 4'000.-- vor. Der Beschwerdegegner 1 hat in seiner Stellungnahme auf diesen Umstand hingewiesen (Urk. 21 S. 4). Die Be- schwerdeführerin hat dazu keine Stellung genommen (vgl. Urk. 28). Unter diesen Umständen ist nicht ersichtlich, inwiefern der Beschwerdeführerin durch die Nichtangabe besagter Darlehensforderung in der Höhe von Fr. 1'400.-- ein Scha- den entstanden sein soll. Die Beschwerdeführerin legt dies auch nicht dar. Der Betrag liegt unter dem Vermögensfreibetrag. Auch die Kontoauszüge des Be- schwerdeführers deuten nicht darauf hin, dass sein Vermögen den Vermögens- freibetrag überschritt (vgl. Urk. 3/3/6). Mangels eines ersichtlichen Schadens liegt kein Hinweis auf einen Betrug im Sinne von Art. 146 StGB vor. Entsprechend sind auch die Tatbestände von Art. 148a StGB und § 48a SHG/ZH nicht erfüllt.</w:t>
      </w:r>
    </w:p>
    <w:p>
      <w:r>
        <w:rPr>
          <w:b/>
        </w:rPr>
        <w:t>E. 5.1</w:t>
      </w:r>
    </w:p>
    <w:p>
      <w:r>
        <w:t>Die Beschwerde ist abzuweisen. Die Beschwerdeführerin unterliegt. Sie hat die Kosten des Beschwerdeverfahrens zu tragen (Art. 428 Abs. 1 StPO). Ange- sichts der Bedeutung und Schwierigkeit des Fall sowie des Zeitaufwands des Ge- richts ist die Gerichtsgebühr für das Beschwerdeverfahren auf Fr. 900.-- festzu- setzen (§ 17 Abs. 1 und § 2 GebV GO). Da der Beschwerdegegner 1 obsiegt, hat er die Kosten des Beschwerdeverfah- rens nicht zu tragen. Soweit er um unentgeltliche Prozessführung ersucht (Urk. 9), ist sein Gesuch gegenstandslos.</w:t>
      </w:r>
    </w:p>
    <w:p>
      <w:r>
        <w:rPr>
          <w:b/>
        </w:rPr>
        <w:t>E. 5.2</w:t>
      </w:r>
    </w:p>
    <w:p>
      <w:r>
        <w:t>Die Verfahrensleitung bestellte dem Beschwerdegegner 1 eine amtliche Ver- teidigung. Die Vergütung der amtlichen Verteidigung bestimmt sich nach der Ver- ordnung über die Anwaltsgebühren (AnwGebV; Art. 135 Abs. 1 StPO). Die Fest- setzung erfolgt durch eine Pauschale. Sie ist für das Beschwerdeverfahren in An- wendung von § 19 Abs. 1 i.V.m. § 2 AnwGebV festzusetzen. Der vorliegende Fall ist angesichts des strittigen Betrags von Fr. 1'611.95 nicht von allzu grosser Be- deutung. Die Verantwortung der Verteidigerin war daher nicht hoch. In rechtlicher und tatsächlicher Hinsicht liegt kein besonders komplexer Fall vor. Mit Blick auf den damit einhergehenden notwendigen Zeitaufwand der Verteidigerin ist die</w:t>
      </w:r>
    </w:p>
    <w:p>
      <w:r>
        <w:t>- 9 - Vergütung auf Fr. 1'760.-- zuzüglich 7,7% Mehrwertsteuer festzusetzen. Die Ver- gütung ist aus der Gerichtskasse zu leisten (vgl. dazu BGE 145 IV 90 E. 5 und Ur- teil des Bundesgerichts 6B_16/2020 vom 27. Februar 2020 E. 6, wonach es keine gesetzliche Grundlage gibt, die es erlauben würde, der Privatklägerschaft die Kosten der amtlichen Verteidigung der beschuldigten Person aufzuerlegen).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