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UE200126 vom 10. September 2021</w:t>
      </w:r>
    </w:p>
    <w:p>
      <w:r>
        <w:t>ZH Obergericht, 2021-09-10, DE</w:t>
      </w:r>
    </w:p>
    <w:p>
      <w:r>
        <w:rPr>
          <w:b/>
        </w:rPr>
        <w:t xml:space="preserve">Quelle: </w:t>
      </w:r>
      <w:r>
        <w:t>https://mcp.opencaselaw.ch/entscheid/zh_obergericht_UE200126</w:t>
      </w:r>
    </w:p>
    <w:p>
      <w:r>
        <w:t>FR: ZH_OBERGERICHT UE200126 du 10 septembre 2021</w:t>
      </w:r>
    </w:p>
    <w:p>
      <w:r>
        <w:t>IT: ZH_OBERGERICHT UE200126 del 10 settembre 2021</w:t>
      </w:r>
    </w:p>
    <w:p>
      <w:pPr>
        <w:pStyle w:val="Heading2"/>
      </w:pPr>
      <w:r>
        <w:t>Erwägungen</w:t>
      </w:r>
    </w:p>
    <w:p>
      <w:r>
        <w:rPr>
          <w:b/>
        </w:rPr>
        <w:t>E. 1</w:t>
      </w:r>
    </w:p>
    <w:p>
      <w:r>
        <w:t>A._____ (nachfolgend: Beschwerdeführer) erstattete am 18. Dezember 2019 Strafanzeige wegen Beschimpfung, Nötigung, Drohung und Ehrverletzung gegen B._____, C._____ und D._____ (nachfolgend: Beschwerdegegner 1-3; Urk. 14/2 S. 3 f.). Am 19. Dezember 2019 erstattete der Beschwerdeführer erneut Strafan- zeige bei der Oberstaatsanwaltschaft des Kantons Zürich (nachfolgend: Ober- staatsanwaltschaft) unter Bezugnahme auf die bereits erfolgte Korrespondenz mit der Stadtpolizei Winterthur sowie auf die beigelegten Unterlagen (Urk. 14/1). Er wirft den Beschwerdegegnern 1-3 einerseits ein zu langsames Handeln im Zu- sammenhang mit der Festsetzung seiner Arbeitslosenentschädigung vor. Ander- seits wirft er ihnen vor, sie hätten ihn darauf hingewiesen, dass er sich zu ent- scheiden habe, damit die Sache ihren Fortgang finden könne bzw. dass erst nach seiner Entscheidung eine Verfügung ausgestellt werde. Durch dieses Verhalten hätten sie Existenzunsicherheiten und Angstgefühle bei ihm ausgelöst. Sie hätten ihm sodann mitgeteilt, dass er bei Ausbleiben einer Entscheidung selber verant- wortlich sei, sprich über eigenes Vermögen verfüge, um den Lebensunterhalt zu bestreiten (Urk. 14/1).</w:t>
      </w:r>
    </w:p>
    <w:p>
      <w:r>
        <w:rPr>
          <w:b/>
        </w:rPr>
        <w:t>E. 1.1</w:t>
      </w:r>
    </w:p>
    <w:p>
      <w:r>
        <w:t>Die Staatsanwaltschaft erwog in der angefochtenen Verfügung, der Be- schwerdeführer scheine den Beschwerdegegnern 1-3 vorzuwerfen, im Verfahren um die Festsetzung seiner Arbeitslosenentschädigung zu langsam gehandelt zu haben. Andererseits scheine er ihnen vorzuwerfen, sie hätten durch gewisse Auf- forderungen (z. B. er müsse sich entscheiden, damit die Sache ihren Fortgang finden könne) in ihm inakzeptable Existenzunsicherheiten bzw. Angstgefüh- le/Umtriebe ausgelöst. Die Schilderungen des Beschwerdeführers würden keiner- lei Hinweise auf konkrete strafrechtlich relevante Vorgänge beinhalten. Die zahl-</w:t>
      </w:r>
    </w:p>
    <w:p>
      <w:r>
        <w:t>- 4 - reichen E-Mails zwischen den Parteien würden vielmehr von einem intensiven und bereits länger andauernden Konflikt zwischen dem Beschwerdeführer und der beim Amt für Wirtschaft und Arbeit angegliederten Arbeitslosenkasse zeugen. Für einen solchen Konflikt seien die Strafverfolgungsbehörden nicht zuständig. Dem Beschwerdeführer hätten die entsprechenden verwaltungsrechtlichen Rechtsbehelfe und Rechtsmittel zur Verfügung gestanden, um allfällige Fehler der Verwaltung zu korrigieren (Urk. 5).</w:t>
      </w:r>
    </w:p>
    <w:p>
      <w:r>
        <w:rPr>
          <w:b/>
        </w:rPr>
        <w:t>E. 1.2</w:t>
      </w:r>
    </w:p>
    <w:p>
      <w:r>
        <w:t>Der Beschwerdeführer entgegnet dem in seiner Beschwerdeschrift im We- sentlichen, die Staatsanwaltschaft habe die Tatsachen nicht richtig zur Kenntnis genommen. Die Beschwerdegegner 1-3 hätten ihm Varianten aufgezeigt und ihn darauf hingewiesen, dass er eine Variante wählen müsse und erst dann eine Ver- fügung erhalte. Dies stelle eine Nötigung bzw. Drohung dar. Zudem sei er nach Vorliegen der Unterlagen darauf aufmerksam gemacht worden, dass er ja sonst genügend eigenes Geld habe. Dies stelle eine Beschimpfung bzw. Ehrverletzung dar. Betreffend den Konflikt zwischen ihm und der Arbeitslosenkasse seien so- dann die Tatbestände des Amtsmissbrauchs und der ungetreuen Amtsführung zu prüfen. Weiter sei zu prüfen, inwieweit der Datenschutz verletzt worden sei (Urk. 2).</w:t>
      </w:r>
    </w:p>
    <w:p>
      <w:r>
        <w:rPr>
          <w:b/>
        </w:rPr>
        <w:t>E. 1.3</w:t>
      </w:r>
    </w:p>
    <w:p>
      <w:r>
        <w:t>Die Staatsanwaltschaft verweist in ihrer Vernehmlassung vom 30. Juni 2020 auf die Begründung der angefochtenen Verfügung und beantragt die Abweisung der Beschwerde (Urk. 13). 2. 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lit. a StPO verfügt die Staatsanwaltschaft die Nichtanhandnahme der Untersuchung, sobald aufgrund der Strafanzeige oder des Polizeirapports feststeht, dass die fraglichen Straftatbestände oder die Prozessvoraussetzungen eindeutig nicht erfüllt sind. Die Frage, ob ein Strafverfahren über eine Nichtan- handnahme erledigt werden kann, beurteilt sich nach dem Grundsatz "in dubio</w:t>
      </w:r>
    </w:p>
    <w:p>
      <w:r>
        <w:t>- 5 -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Die Staatsanwaltschaft verfügt insoweit über ei- nen gewissen Spielraum (Urteil des Bundesgerichts 6B_1407/2016 vom 21. September 2017 E. 3.2).</w:t>
      </w:r>
    </w:p>
    <w:p>
      <w:r>
        <w:rPr>
          <w:b/>
        </w:rPr>
        <w:t>E. 2</w:t>
      </w:r>
    </w:p>
    <w:p>
      <w:r>
        <w:t>Die Oberstaatsanwaltschaft überwies die Akten am 20. Dezember 2019 zu- ständigkeitshalber an die Staatsanwaltschaft Zürich-Limmat (nachfolgend: Staatsanwaltschaft). Mit Verfügung vom 24. März 2020 nahm die Staatsanwalt- schaft eine Untersuchung nicht an Hand (Urk. 3/1 = Urk. 5 = Urk. 14/4).</w:t>
      </w:r>
    </w:p>
    <w:p>
      <w:r>
        <w:rPr>
          <w:b/>
        </w:rPr>
        <w:t>E. 3</w:t>
      </w:r>
    </w:p>
    <w:p>
      <w:r>
        <w:t>Dagegen erhob der Beschwerdeführer persönlich mit Eingabe vom 14. Februar 2020 (recte wohl: 14. April 2020; Datum Poststempel: 14. April 2020) samt Beilagen innert Frist Beschwerde und beantragte sinngemäss die Aufhe- bung der angefochtenen Verfügung (Urk. 2; Urk. 3/1-3).</w:t>
      </w:r>
    </w:p>
    <w:p>
      <w:r>
        <w:rPr>
          <w:b/>
        </w:rPr>
        <w:t>E. 3.1</w:t>
      </w:r>
    </w:p>
    <w:p>
      <w:r>
        <w:t>Der Nötigung nach Art. 181 StGB macht sich strafbar, wer jemanden durch Gewalt oder Androhung ernstlicher Nachteile oder durch andere Beschränkung seiner Handlungsfreiheit nötigt, etwas zu tun, zu unterlassen oder zu dulden. Die Strafnorm setzt voraus, dass das Opfer durch die Anwendung der genannten Zwangsmittel in seiner Handlungsfreiheit beeinträchtigt und auf diese Weise – gegen seinen Willen – zu einem bestimmten Verhalten veranlasst wird (Urteil des Bundesgerichts 6B_727/2013 vom 7. März 2014, E. 2.2 m. H.). Der Drohung im Sinne von Art. 180 StGB macht sich strafbar, wer jemanden durch schwere Drohung in Schrecken oder Angst versetzt.</w:t>
      </w:r>
    </w:p>
    <w:p>
      <w:r>
        <w:rPr>
          <w:b/>
        </w:rPr>
        <w:t>E. 3.2</w:t>
      </w:r>
    </w:p>
    <w:p>
      <w:r>
        <w:t>Der Verfügung der Arbeitslosenkasse des Kantons Zürich vom 14. Oktober 2019 lässt sich entnehmen, dass sich der Beschwerdeführer am 29. Mai 2017 beim RAV zur Arbeitsvermittlung angemeldet und anfänglich Anspruch auf Ar- beitslosenentschädigung ab dem 1. August 2017 erhoben habe. Die Rahmenfrist sei (aufgrund einer Verlängerung des Arbeitsverhältnisses des Beschwerdefüh- rers bis zum 31. Januar 2018) "auf den 1. Februar 2018 verschoben" worden. Der Beschwerdeführer habe zum Zeitpunkt der Rahmenfristeröffnung Taggelder der Krankentaggeldversicherung erhalten (Urk. 14/2 S. 10). Mit E-Mail der Beschwerdegegnerin 2 vom 24. September 2019 wurde der Be- schwerdeführer darauf hingewiesen, dass die Rahmenfrist nach deren Eröffnung grundsätzlich nicht mehr verschoben werden dürfe. Gemäss Audit Letter TCRD 2014/2 sei es angezeigt, eine Rahmenfrist für den Leistungsbezug zu eröffnen, wenn ein Zuwarten mit der Anmeldung zum Taggeldbezug dazu führen würde,</w:t>
      </w:r>
    </w:p>
    <w:p>
      <w:r>
        <w:t>- 6 - dass sich die in der Rahmenfrist für die Beitragszeit zurückgelegte Beitragszeit auf unter 22, 18 oder 12 Monate verringere und sich damit auch der Taggeld- höchstanspruch gemäss Art. 27 AVIG reduziere oder ganz wegfalle. Solange aber ein Zuwarten mit der Anmeldung den Taggeldhöchstanspruch nicht vermindere, sei es für die versicherte Person i.d.R. vorteilhafter, noch keine Rahmenfrist für den Leistungsbezug zu eröffnen. Wichtig sei in solchen Situationen, dass die ver- sicherte Person von den Vollzugsstellen beraten werde, d. h. dass ihr genau er- klärt werde, wie sich der Anmeldezeitpunkt auf den Anspruch auswirke. Der Be- schwerdeführer wurde sodann gebeten, mitzuteilen, ob er mit der Variante 2, der Verschiebung der Rahmenfrist auf den 1. August 2018, einverstanden sei. Er wurde zudem darauf hingewiesen, dass die Zahlungen ausgelöst würden, sobald seine Bestätigung vorliege (Urk. 14/2 S. 16). Inwiefern die beanzeigte Äusserung der Beschwerdegegner 1-3, wonach sich der Beschwerdeführer zu entscheiden habe, damit die Sache ihren Fortgang finden könne bzw. damit eine Verfügung erlassen werden könne, die Androhung eines Übels darstellen soll, ist nicht ersichtlich. Auch ist nicht erkennbar, inwiefern die Beschwerdegegner 1-3 mit der besagten Äusserung die Freiheit von Willensbil- dung oder -betätigung des Beschwerdeführers rechtswidrig verletzt haben sollen. Vielmehr wurden dem Beschwerdeführer offenkundig die Varianten zur Eröffnung der verschiedenen Rahmenfristen mit den entsprechenden rechtlichen Grundla- gen sowie die Auswirkungen des Anmeldezeitpunkts auf den Anspruch aufge- zeigt. Zudem wurde ihm die Möglichkeit gegeben, sich vor Eröffnung der Rah- menfrist und Erlass der entsprechenden Verfügung zur vorgeschlagenen Varian- te 2 zu äussern. Darin ist weder eine Nötigung noch eine Drohung erkennbar.</w:t>
      </w:r>
    </w:p>
    <w:p>
      <w:r>
        <w:rPr>
          <w:b/>
        </w:rPr>
        <w:t>E. 3.3</w:t>
      </w:r>
    </w:p>
    <w:p>
      <w:r>
        <w:t>Die Ehrverletzungstatbestände gemäss Art. 173 ff. StGB schützen den Ruf, ein ehrbarer Mensch zu sein, das heisst, sich so zu benehmen, wie nach allge- meiner Anschauung ein charakterlich anständiger Mensch sich zu verhalten pflegt. Für die Frage, ob eine Äusserung ehrenrührig ist, ist massgebend, welchen Sinn ihr ein unbefangener Adressat unter den konkreten Umständen beimisst (BGE 137 IV 313 E. 2.1.1. und 2.1.3 = Pra 101 [2012] Nr. 53). Die Ehre wird ver- letzt durch jede Äusserung, welche jemanden allgemein eines Mangels an</w:t>
      </w:r>
    </w:p>
    <w:p>
      <w:r>
        <w:t>- 7 - Pflichtgefühl, Verantwortungsbewusstsein und Zuverlässigkeit oder sonst einer Eigenschaft bezichtigt, die geeignet wäre, ihn als Mensch verächtlich zu machen oder seinen Charakter in ein ungünstiges Licht zu rücken (BGE 105 IV 111 E. 3).</w:t>
      </w:r>
    </w:p>
    <w:p>
      <w:r>
        <w:rPr>
          <w:b/>
        </w:rPr>
        <w:t>E. 3.4</w:t>
      </w:r>
    </w:p>
    <w:p>
      <w:r>
        <w:t>Vorliegend bestehen keine Hinweise, dass die Beschwerdegegner 1-3 den Beschwerdeführer mit der beanzeigten Äusserung als charakterlich minderwertig darzustellen versuchten. Dies insbesondere, da die Aussage, wonach das Ver- mögen des Beschwerdeführers für die Bestreitung seines Lebensunterhalt ausrei- che, nach den Angaben des Beschwerdeführers explizit (und offenbar im Sinne einer Notlösung) auf den Fall des Ausbleibens einer Entscheidung des Be- schwerdeführers für eine der aufgezeigten Varianten bezogen wurde. Es wurde damit nicht etwa kritisiert, dass der Beschwerdeführer trotz seines – zur Bestrei- tung des Lebensunterhalts offenbar zumindest vorübergehend ausreichenden – Vermögens eine Arbeitslosenentschädigung beanspruche. Zudem wäre selbst ei- ne solche Äusserung nicht geeignet, den Ruf des Beschwerdeführers als ehrbarer Mensch herabzusetzen, zumal der Anspruch auf Arbeitslosenentschädigung nicht vermögensabhängig ist. Die beanzeigte Äusserung der Beschwerdegegner 1-3 erscheint damit bei objektiver Beurteilung von vornherein als nicht ehrenrührig.</w:t>
      </w:r>
    </w:p>
    <w:p>
      <w:r>
        <w:rPr>
          <w:b/>
        </w:rPr>
        <w:t>E. 3.5</w:t>
      </w:r>
    </w:p>
    <w:p>
      <w:r>
        <w:t>Der Beschwerdeführer bestreitet nicht, dass – wie von der Staatsanwalt- schaft ausgeführt – aufgrund der zahlreichen E-Mails zwischen den Parteien (vgl. Urk. 14/2) auf einen intensiven und bereits länger andauernden Konflikt zwischen ihm und der Arbeitslosenkasse des Kantons Zürich zu schliessen sei. Vielmehr stellt er sich auf den Standpunkt, betreffend diesen Konflikt seien die Tatbestände des Amtsmissbrauchs und der ungetreuen Amtsführung zu prüfen (vgl. Urk. 2 S. 2). Wenn der Beschwerdeführer mit dem Vorgehen und den Entscheiden von Verwaltungsbehörden nicht einverstanden ist, ist er grundsätzlich auf die entspre- chenden verwaltungsrechtlichen Rechtsmittel zu verweisen. Es begründet keinen Amtsmissbrauch im Sinne von Art. 312 StGB oder sonst ein strafrechtlich relevan- tes Verhalten, wenn Beamte die Rechtsauffassung eines Betroffenen nicht teilen oder die Ausübung der amtlichen Tätigkeit nicht den Vorstellungen des Betroffe- nen entspricht. Der Tatbestand des Amtsmissbrauchs ist vielmehr erst dann er- füllt, wenn Mitglieder einer Behörde oder Beamte ihre Amtsgewalt missbrauchen,</w:t>
      </w:r>
    </w:p>
    <w:p>
      <w:r>
        <w:t>- 8 - um sich oder einem andern einen unrechtmässigen Vorteil zu verschaffen oder einem anderen einen Nachteil zuzufügen. Objektive Anhaltspunkte dafür, dass die Beschwerdegegner 1-3 in diesem Sinne vorsätzlich zum Nachteil des Beschwer- deführers gehandelt haben, sind keine erkennbar. Der vom Beschwerdeführer angeführte Tatbestand der ungetreuen Amtsführung setzt sodann ein privatrecht- liches Rechtsgeschäft voraus, bei welchem der betroffene Amtsträger das Ge- meinwesen vertritt (NIGGLI, in: Niggli/Wiprächtiger [Hrsg.], Basler Kommentar, Strafrecht II, 4. Aufl., Basel 2019, N 9 f. zu Art. 314 StGB). Daran fehlt es vorlie- gend, steht doch vielmehr ein hoheitliches Handeln der Arbeitslosenkasse des Kantons Zürich in Frage.</w:t>
      </w:r>
    </w:p>
    <w:p>
      <w:r>
        <w:rPr>
          <w:b/>
        </w:rPr>
        <w:t>E. 3.6</w:t>
      </w:r>
    </w:p>
    <w:p>
      <w:r>
        <w:t>Dem vom Beschwerdeführer geschilderten Sachverhalt lassen sich sodann keine Anhaltspunkte für eine anderweitige Strafbarkeit der Beschwerdegegner 1-3 entnehmen.</w:t>
      </w:r>
    </w:p>
    <w:p>
      <w:r>
        <w:rPr>
          <w:b/>
        </w:rPr>
        <w:t>E. 3.7</w:t>
      </w:r>
    </w:p>
    <w:p>
      <w:r>
        <w:t>Auf das Vorbringen des Beschwerdeführers im Rahmen des Beschwerde- verfahrens, es sei eine Verletzung des Datenschutzes zu prüfen, ist im Rahmen dieses Beschwerdeverfahrens nicht weiter einzugehen. Ein solches Delikt wurde weder anlässlich der Strafanzeige thematisiert, noch bildete es Gegenstand der angefochtenen Nichtanhandnahmeverfügung.</w:t>
      </w:r>
    </w:p>
    <w:p>
      <w:r>
        <w:rPr>
          <w:b/>
        </w:rPr>
        <w:t>E. 4</w:t>
      </w:r>
    </w:p>
    <w:p>
      <w:r>
        <w:t>Zusammenfassend kann dem vom Beschwerdeführer zur Anzeige gebrach- ten Sachverhalt kein strafbares Verhalten der Beschwerdegegner 1-3 entnommen werden. Damit wurde die Strafuntersuchung zu Recht nicht an die Hand genom- men. Die Beschwerde ist daher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