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UE190342 vom 6. April 2020</w:t>
      </w:r>
    </w:p>
    <w:p>
      <w:r>
        <w:t>ZH Obergericht, 2020-04-06, DE</w:t>
      </w:r>
    </w:p>
    <w:p>
      <w:r>
        <w:rPr>
          <w:b/>
        </w:rPr>
        <w:t xml:space="preserve">Quelle: </w:t>
      </w:r>
      <w:r>
        <w:t>https://mcp.opencaselaw.ch/entscheid/zh_obergericht_UE190342</w:t>
      </w:r>
    </w:p>
    <w:p>
      <w:r>
        <w:t>FR: ZH_OBERGERICHT UE190342 du 6 avril 2020</w:t>
      </w:r>
    </w:p>
    <w:p>
      <w:r>
        <w:t>IT: ZH_OBERGERICHT UE190342 del 6 aprile 2020</w:t>
      </w:r>
    </w:p>
    <w:p>
      <w:pPr>
        <w:pStyle w:val="Heading2"/>
      </w:pPr>
      <w:r>
        <w:t>Erwägungen</w:t>
      </w:r>
    </w:p>
    <w:p>
      <w:r>
        <w:rPr>
          <w:b/>
        </w:rPr>
        <w:t>E. 1</w:t>
      </w:r>
    </w:p>
    <w:p>
      <w:r>
        <w:t>Am 25. Februar 2019 erstattete A._____ (nachfolgend: Beschwerdeführerin) bei der Kantonspolizei Zürich Strafanzeige gegen B._____ (nachfolgend: Be- schwerdegegnerin) wegen Ehrverletzung. Diese habe am 25. Februar 2019 auf der Internetplattform www.C._____.ch eine negative Bewertung über die Be- schwerdeführerin abgegeben und sie dadurch in ihrer Ehre verletzt (Urk. 7/1–2).</w:t>
      </w:r>
    </w:p>
    <w:p>
      <w:r>
        <w:rPr>
          <w:b/>
        </w:rPr>
        <w:t>E. 2</w:t>
      </w:r>
    </w:p>
    <w:p>
      <w:r>
        <w:t>Mit Verfügung vom 16. August 2019 nahm die Staatsanwaltschaft See/- Oberland (nachfolgend: Staatsanwaltschaft) eine Strafuntersuchung gegen die Beschwerdegegnerin nicht an Hand. Dies begründete sie im Wesentlichen damit, dass die Beschwerdegegnerin geständig sei, den strittigen Eintrag verfasst und online gestellt zu haben, jedoch angegeben habe, sie habe die Beschwerdeführe- rin dadurch nicht in ihrer Ehre verletzen, sondern sich lediglich zu deren Arbeit als "Nanny" äussern wollen. Der strittige Eintrag beziehe sich lediglich auf die subjek- tive Sichtweise bzw. Erfahrung der Beschwerdegegnerin mit der Beschwerdefüh- rerin als Betreuerin ihres Kindes. Er betreffe ausschliesslich die Geltung der Be- schwerdegegnerin als Berufsfrau und tangiere nicht deren strafrechtlich geschütz- ten Persönlichkeitsbereich. Positive wie negative Beurteilungen und Rezensionen seien im Internet für alle möglichen Dienstleistungen gebräuchlich und weit ver- breitet. Strafbare Handlungen der Beschwerdegegnerin seien vor diesem Hinter- grund nicht ersichtlich, womit eine Untersuchung nicht an Hand zu nehmen sei. Die Kosten für diesen Entscheid wurden auf die Staatskasse genommen; zur Gel- tendmachung allfälliger Zivilansprüche wurde die Beschwerdeführerin auf den Zi- vilweg verwiesen. Mangels wesentlicher Umtriebe und besonders schwerer Ver- letzung in ihren persönlichen Verhältnissen wurde der Beschwerdegegnerin we- der eine Entschädigung noch eine Genugtuung zugesprochen (Urk. 3/1 = Urk. 5 = Urk. 7/7).</w:t>
      </w:r>
    </w:p>
    <w:p>
      <w:r>
        <w:rPr>
          <w:b/>
        </w:rPr>
        <w:t>E. 3</w:t>
      </w:r>
    </w:p>
    <w:p>
      <w:r>
        <w:t>Gegen die ihr am 25. Oktober 2019 zugegangene (vgl. Urk. 5A) Nichtan- handnahmeverfügung erhob die Beschwerdeführerin mit Eingabe vom 3. Novem- ber 2019 in französischer Sprache Beschwerde bei der hiesigen Kammer (Urk. 2).</w:t>
      </w:r>
    </w:p>
    <w:p>
      <w:r>
        <w:t>- 3 - Mit Verfügung vom 11. November 2019 wurde der Beschwerdeführerin eine Nachfrist angesetzt, um eine auf Deutsch übersetzte Beschwerdeschrift einzu- reichen. Sodann wurde sie aufgefordert, eine Prozesskaution von einstweilen CHF 1'500.– zu leisten (Urk. 9). Mit Eingabe vom 26. November 2019 reichte die Beschwerdeführerin eine in deutscher Sprache abgefasste Beschwerdeschrift ein, wobei sie sinngemäss um Aufhebung der angefochtenen Verfügung und Durch- führung eines Strafverfahrens gegen die Beschwerdegegnerin ersuchte. Sodann beantragte sie sinngemäss, die Beschwerdegegnerin zur Entfernung der im Inter- net publizierten Kommentare, zur Abgabe eines Schuldeingeständnisses sowie zur Zahlung einer Genugtuung zu verpflichten (Urk. 11). Die einverlangte Pro- zesskaution ging fristgerecht bei der Gerichtskasse ein (vgl. Urk. 13).</w:t>
      </w:r>
    </w:p>
    <w:p>
      <w:r>
        <w:rPr>
          <w:b/>
        </w:rPr>
        <w:t>E. 3.1</w:t>
      </w:r>
    </w:p>
    <w:p>
      <w:r>
        <w:t>Der üblen Nachrede macht sich strafbar, wer jemanden bei einem andern eines unehrenhaften Verhaltens oder anderer Tatsachen, die geeignet sind, sei- nen Ruf zu schädigen, beschuldigt oder verdächtigt, oder wer eine solche Be- schuldigung oder Verdächtigung weiterverbreitet (Art. 173 Ziff. 1 Abs. 1 StGB). Geschieht die Tat wider besseres Wissen, liegt eine Verleumdung i. S. v. Art. 174 Ziff. 1 Abs. 1 StGB vor. Wer jemanden in anderer Weise durch Wort, Schrift, Bild, Gebärde oder Tätlichkeiten in seiner Ehre angreift, macht sich der Beschimpfung schuldig (Art. 177 Abs. 1 StGB).</w:t>
      </w:r>
    </w:p>
    <w:p>
      <w:r>
        <w:rPr>
          <w:b/>
        </w:rPr>
        <w:t>E. 3.2</w:t>
      </w:r>
    </w:p>
    <w:p>
      <w:r>
        <w:t>Bei den Ehrverletzungstatbestände gemäss Art. 173 ff. StGB handelt es sich um Antragsdelikte, welche nur auf Antrag des Betroffenen verfolgt und bestraft werden (Art. 173 Ziff. 1 Abs. 3 StGB, Art. 174 Ziff. 1 Abs. 3 StGB und Art. 177 Abs. 1 StGB). Das Strafantragserfordernis ist vorliegend erfüllt; der Strafantrag der Beschwerdeführerin datiert vom 25. Februar 2019 (vgl. Urk. 7/2).</w:t>
      </w:r>
    </w:p>
    <w:p>
      <w:r>
        <w:rPr>
          <w:b/>
        </w:rPr>
        <w:t>E. 3.3</w:t>
      </w:r>
    </w:p>
    <w:p>
      <w:r>
        <w:t>Geschütztes Rechtsgut der genannten Straftatbestände ist die Ehre. Darun- ter zu verstehen ist der Ruf, ein ehrbarer Mensch zu sein, das heisst sich so zu benehmen, wie sich nach allgemeiner Anschauung ein charakterlich anständiger Mensch zu verhalten pflegt (BGE 137 IV 313 Erw. 2.1.1; BGE 132 IV 112 Erw. 2.1; BGE 131 IV 154 Erw. 1.2; BGE 117 IV 27 Erw. 2.c m. H.). Die Ehre wird</w:t>
      </w:r>
    </w:p>
    <w:p>
      <w:r>
        <w:t>- 5 - verletzt durch jede Äusserung, welche jemanden allgemein eines Mangels an Pflichtgefühl, Verantwortungsbewusstsein und Zuverlässigkeit oder sonst einer Eigenschaft bezichtigt, die geeignet wäre, ihn als Mensch verächtlich zu machen oder seinen Charakter in ein ungünstiges Licht zu rücken (BGE 105 IV 111 Erw. 3). Äusserungen, die sich lediglich eignen, jemanden in anderer Hinsicht, zum Beispiel als Geschäfts- oder Berufsmann, als Politiker oder Künstler in der gesellschaftlichen Geltung herabzusetzen, sind nicht ehrverletzend, vorausge- setzt, die Kritik an den strafrechtlich nicht geschützten Seiten des Ansehens trifft nicht zugleich die Geltung der Person als ehrbarer Mensch (Urteile des Bundes- gerichts 6B_363/2017 vom 21. März 2018 Erw. 2.4, 6B_584/2016 vom 6. Februar 2017 Erw. 3.1.2 m. H. und 6B_257/2016 vom 5. August 2016 Erw. 1.4.3 m. H.). Der Angriff auf die Ehre des Betroffenen muss qualitativ von einer gewissen Er- heblichkeit sein; verhältnismässig unbedeutende Übertreibungen bleiben straflos (Urteil des Bundesgerichtes 6B_70/2012 vom 25. Juni 2012 Erw. 3.4 m. H.). Da- bei ist nicht auf subjektive Empfindungen und Wertmassstäbe des Betroffenen abzustellen. Massgeblich ist vielmehr der nach objektiven Kriterien zu ermittelnde Sinn einer Äusserung, den ihr ein unvoreingenommener Empfänger unter den gegebenen Umständen beimessen würde. Dabei kommt es nicht nur auf die iso- lierte, einzelne Äusserung an, sondern auch auf den Gesamtzusammenhang, in welchem sie steht (TRECHSEL/LIEBER, in: Trechsel/Pieth [Hrsg.], Schweizerisches Strafgesetzbuch, Praxiskommentar, 3. Aufl., Zürich/Basel/Genf 2018, Vor Art. 173 ff. N 11 m. H.; Urteil des Bundesgerichts 6B_976/2017 vom 14. November 2018 Erw. 3.3 m. H.).</w:t>
      </w:r>
    </w:p>
    <w:p>
      <w:r>
        <w:rPr>
          <w:b/>
        </w:rPr>
        <w:t>E. 4</w:t>
      </w:r>
    </w:p>
    <w:p>
      <w:r>
        <w:t>In ihrer verbesserten Beschwerdeschrift schildert die Beschwerdeführerin zunächst ausführlich, wie sich die Ereignisse, welche zu der streitbetroffenen Veröffentlichung geführt haben, aus ihrer Sicht abgespielt haben (Urk. 11 S. 1 ff.) und erhebt ihrerseits diverse Anschuldigungen gegen die Beschwerdegegnerin (Urk. 11 S. 3). Bezugnehmend auf die beiden Kommentare vom 25. Februar 2019 auf der Internetplattform macht sie einzig geltend, diese stünden im Widerspruch zu einem von der Beschwerdegegnerin abgegebenen Referenzschreiben und seien erst rund ein Jahr und vier Monate nach der Beendigung des Arbeitsver- hältnisses veröffentlicht worden. Da es sich bei www.C._____.ch um eine vielbe-</w:t>
      </w:r>
    </w:p>
    <w:p>
      <w:r>
        <w:t>- 6 - suchte Website handle, welche die Beschwerdeführerin bei ihrer Stellensuche nutze, seien die Folgen der Veröffentlichung solcher Kommentare für sie gravie- rend. Die Beschwerdegegnerin versuche dadurch ihren Ruf zu zerstören, was in- akzeptabel sei (Urk. 11 S. 3).</w:t>
      </w:r>
    </w:p>
    <w:p>
      <w:r>
        <w:rPr>
          <w:b/>
        </w:rPr>
        <w:t>E. 5</w:t>
      </w:r>
    </w:p>
    <w:p>
      <w:r>
        <w:t>Die Staatsanwaltschaft stellt sich in der angefochtenen Verfügung auf den Standpunkt, der streitbetroffene Eintrag betreffe die Beschwerdeführerin lediglich in ihrer Geltung als Berufsfrau, nicht aber im menschlich-sittlichen Bereich, und sei daher nicht als ehrverletzend zu qualifizieren (Urk. 3/1 S. 2). Mit dieser Argu- mentation setzt sich die Beschwerdeführerin in ihrer verbesserten Beschwerde- schrift nicht auseinander. Sie betont zwar die für sie nachteiligen wirtschaftlichen Folgen der Veröffentlichung, unterlässt es hingegen aufzuzeigen, inwiefern sie durch die inkriminierten Äusserung charakterlich in ein schlechtes Licht gerückt worden sei. Solches ist denn auch nicht ersichtlich, zumal ihr im streitbetroffenen Eintrag keine Charaktereigenschaften oder Verhaltensweisen unterstellt werden, welche geeignet wären, sie als Mensch verächtlich zu machen. Für den unbefan- genen Leser wird vor allem deutlich, dass die Beschwerdeführerin und die Be- schwerdegegnerin offenbar sehr unterschiedliche Vorstellungen von einer ange- messenen Kinderbetreuung haben und dass der Beschwerdeführerin (jedenfalls nach Einschätzung der Beschwerdegegnerin) die Eignung als Nanny abzuspre- chen sei. Ferner geht aus dem streitbetroffenen Eintrag zweifelsfrei hervor, dass sich zwischen den Beteiligten Differenzen ergeben haben, was namentlich die Ar- beitszeiten, den Arbeitsort oder die Lohnfortzahlung während der Kündigungsfrist betrifft. Der streitbetroffene Eintrag lässt eine gewisse Bestürzung der Beschwer- degegnerin über das Verhalten der Beschwerdeführerin erkennen, nicht aber das – auch bei Internetrezensionen gebotene – Mass an Sachlichkeit vermissen. Dass eine solche Bewertung für die Beschwerdeführerin in wirtschaftlicher Hinsicht nachteilig ist, bedarf vorliegend keiner Erläuterung; ein Betroffensein in mensch- lich-sittlichen Belangen ist darin aber, wie die Staatsanwaltschaft zu Recht aus- führt, nicht zu erkennen. Die Nichtanhandnahmeverfügung ist somit nicht zu be- anstanden. Dies führt zur Abweisung der Beschwerde.</w:t>
      </w:r>
    </w:p>
    <w:p>
      <w:r>
        <w:t>- 7 - III. 1. Ausgangsgemäss sind die Kosten des Beschwerdeverfahrens der Be- schwerdeführerin aufzuerlegen (Art. 428 Abs. 1 StPO) und aus der von ihr geleis- teten Prozesskaution zu beziehen. Die Gerichtsgebühr ist unter Berücksichtigung von Bedeutung, Aufwand und Schwierigkeit des Falles auf CHF 900.– festzuset- zen (§ 17 Abs. 1 i. V. m. § 2 Abs. 1 lit. b–d GebV OG). Im Restbetrag ist der Be- schwerdeführerin die Sicherheitsleistung zurückzuerstatten, unter Vorbehalt allfäl- liger Verrechnungsansprüche des Staates. 2. Zufolge Unterliegens hat die Beschwerdeführerin keinen Anspruch auf eine Entschädigung (vgl. Art. 436 Abs. 1 i. V. m. Art. 433 Abs. 1 StPO e contrario). Der Beschwerdegegnerin ist mangels Umtrieben ebenfalls keine Entschädigung zuzu- sprechen (Art. 436 Abs. 1 i. V. m. Art. 429 Abs. 1 lit. a StPO e contrario).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