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UE190168 vom 15. Oktober 2019</w:t>
      </w:r>
    </w:p>
    <w:p>
      <w:r>
        <w:t>ZH Obergericht, 2019-10-15, DE</w:t>
      </w:r>
    </w:p>
    <w:p>
      <w:r>
        <w:rPr>
          <w:b/>
        </w:rPr>
        <w:t xml:space="preserve">Quelle: </w:t>
      </w:r>
      <w:r>
        <w:t>https://mcp.opencaselaw.ch/entscheid/zh_obergericht_UE190168</w:t>
      </w:r>
    </w:p>
    <w:p>
      <w:r>
        <w:t>FR: ZH_OBERGERICHT UE190168 du 15 octobre 2019</w:t>
      </w:r>
    </w:p>
    <w:p>
      <w:r>
        <w:t>IT: ZH_OBERGERICHT UE190168 del 15 ottobre 2019</w:t>
      </w:r>
    </w:p>
    <w:p>
      <w:pPr>
        <w:pStyle w:val="Heading2"/>
      </w:pPr>
      <w:r>
        <w:t>Erwägungen</w:t>
      </w:r>
    </w:p>
    <w:p>
      <w:r>
        <w:rPr>
          <w:b/>
        </w:rPr>
        <w:t>E. 1</w:t>
      </w:r>
    </w:p>
    <w:p>
      <w:r>
        <w:t>Gemäss Anzeigerapport der Kantonspolizei Zürich vom 21. April 2019 soll eine unbekannte Täterschaft den Beschwerdeführer Dr. A._____ übers Internet kontaktiert und ihn in der Folge aufgrund eines angeblichen Vermögensverwaltungsauftrags sowie dem gewonnenen Vertrauen betrügerisch dazu gebracht haben, am 1. März 2019 eine Zahlung über EUR 25'000.– auf ein Konto der B._____ SAS in Frankreich für eine "Maître C._____" und am 24. März 2019 eine zweite Zahlung über EUR 41'000.– an die D._____ (…) auszuführen, um ein vermeintliches Erbe auszulösen (Urk. 11/1). Hiezu erklärte der Beschwerdeführer am 15. April 2019 bei der Polizei, er sei im Februar 2019 von einer Person, die sich "E._____" genannt habe, über Facebook kontaktiert worden. Es sei ein reger Austausch über verschiedene Kanäle entstanden und "E._____" habe ihn schliesslich gebeten, für sie als Vermögensverwalter und eine Art "Vaterersatz" tätig zu werden, weil sie die Alleinerbin von EUR 20 Mio. sei. Er habe mit ihr auch über Skype Kontakt gehabt, vermute aber, dass dies ein eingespielter Film gewesen sei, da sie ihn nicht richtig habe verstehen können. Sie habe ihm eine Anwältin namens "C._____" genannt, welche als Testamentsvollstreckerin amte. Diese Anwältin habe ihn in einem Schreiben aufgefordert, EUR 25'000.– zu überweisen, um das Erbe auszulösen, welchen Betrag er ihr am 1. März 2019 überwiesen habe. Er habe im Internet recherchiert und eine Anwältin namens "C._____" in Frankreich gefunden, welche ihm jedoch am Telefon gesagt habe, dass sie niemanden mit dem Namen E._____ kenne. Die Telefonnummer dieser Anwältin, welche er im Internet ausfindig gemacht habe, sei eine andere gewesen als jene, welche ihm von der unbekannten Täterschaft genannt worden sei. "E._____" sei dann plötzlich in F._____ gewesen und habe EUR 41'000.– benötigt, um EUR 3 Mio. von einem Konto der D._____ in G._____ auszulösen. Daher habe er am 24. März 2019 diesen Betrag an einen "H._____" überwiesen. Dies müsse der</w:t>
      </w:r>
    </w:p>
    <w:p>
      <w:r>
        <w:t>- 3 - Spitzname von "I._____", Bankdirektor der D._____ in G._____, sein (Urk. 11/5 S. 1 f.).</w:t>
      </w:r>
    </w:p>
    <w:p>
      <w:r>
        <w:rPr>
          <w:b/>
        </w:rPr>
        <w:t>E. 2</w:t>
      </w:r>
    </w:p>
    <w:p>
      <w:r>
        <w:t>Mit Verfügung vom 16. Mai 2019 nahm die Staatsanwaltschaft Zürich- Limmat (Beschwerdegegnerin 2; nachfolgend: Staatsanwaltschaft) eine Strafuntersuchung in dieser Sache betreffend den Vorwurf des Betrugs nicht an die Hand (Urk. 5 [bzw. Urk. 11/8]). Dagegen erhob der Beschwerdeführer mit Eingabe vom 26. Mai 2019 Beschwerde und ersuchte darum, "die Nichtanhandnahmeverfügung für nichtig zu erklären, gleichzeitig den Fall aber zu sistieren und pendent zu halten" (Urk. 2 S. 2).</w:t>
      </w:r>
    </w:p>
    <w:p>
      <w:r>
        <w:rPr>
          <w:b/>
        </w:rPr>
        <w:t>E. 3</w:t>
      </w:r>
    </w:p>
    <w:p>
      <w:r>
        <w:t>Mit Verfügung der hiesigen Kammer vom 5. Juni 2019 wurde dem Beschwerdeführer eine Frist von 30 Tagen angesetzt, um eine Prozesskaution von einstweilen Fr. 1'500.– zu leisten (Urk. 7). Diese ging innert Frist bei der Obergerichtskasse ein (Urk. 9). Am 14. Juni 2019 wurden von der Staatsanwaltschaft die Akten der nicht an die Hand genommenen Untersuchung beigezogen (Urk. 10). Von einem Schriftenwechsel wurde abgesehen (Art. 390 Abs. 2 StPO).</w:t>
      </w:r>
    </w:p>
    <w:p>
      <w:r>
        <w:rPr>
          <w:b/>
        </w:rPr>
        <w:t>E. 4</w:t>
      </w:r>
    </w:p>
    <w:p>
      <w:r>
        <w:t>Da sich der Beschwerdeführer mit einem Mindestmass an – ihm zumutbarer – Aufmerksamkeit hätte schützen können, liegt keine arglistige Täuschung vor. Eine Strafuntersuchung wegen Betrugs im Sinne von Art. 146 StGB wurde folglich zu Recht nicht an die Hand genommen.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