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UE190165 vom 22. Oktober 2019</w:t>
      </w:r>
    </w:p>
    <w:p>
      <w:r>
        <w:t>ZH Obergericht, 2019-10-22, DE</w:t>
      </w:r>
    </w:p>
    <w:p>
      <w:r>
        <w:rPr>
          <w:b/>
        </w:rPr>
        <w:t xml:space="preserve">Quelle: </w:t>
      </w:r>
      <w:r>
        <w:t>https://mcp.opencaselaw.ch/entscheid/zh_obergericht_UE190165</w:t>
      </w:r>
    </w:p>
    <w:p>
      <w:r>
        <w:t>FR: ZH_OBERGERICHT UE190165 du 22 octobre 2019</w:t>
      </w:r>
    </w:p>
    <w:p>
      <w:r>
        <w:t>IT: ZH_OBERGERICHT UE190165 del 22 ottobre 2019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A._____ erstattete am 27. April 2019 bei der Staatsanwaltschaft See/Oberland gegen drei Mitarbeiter der E._____ AG (nachfolgend: E._____), B._____, C._____ und D._____, resp. gegen die E._____ als Un- ternehmen Strafanzeige wegen Ehrverletzungsdelikten. Der Anzeigeerstat- ter warf den Beschuldigten vor, über ihn gegenüber dem Rechtsvertreter der E._____, Y._____, wahrheitswidrige Angaben gemacht zu haben. Anwalt Y._____ habe in der Folge gestützt auf diese Angaben in einem Schreiben an den Rechtsvertreter des Anzeigeerstatters behauptet, letzterer habe sei- ner Arbeitgeberin, der E.______, im Vorfeld des Abschlusses einer Verein- barung über die Auflösung des Arbeitsverhältnisses verschwiegen, dass er ein Gesuch um eine IV-Rente gestellt habe, was eine Verletzung der Aufklä- rungspflicht des Arbeitnehmers darstelle. Weiter habe der Anwalt behauptet, der Anzeigeerstatter habe mutmasslich eine absichtliche Täuschung im Sin- ne von Art. 28 OR begangen, weshalb sich die Arbeitgeberin beim Ab- schluss der besagten Vereinbarung in einem Irrtum befunden habe, sie ihre vertraglich übernommene Pflicht zur Zahlung einer BVG-Einlage bestreite und Rückforderungsansprüche stelle. Der Anzeigeerstatter brachte in der Strafanzeige sodann vor, die Beschuldigten resp. die E._____ hätten sich ih- rer vertraglich vereinbarten Pflicht zur Zahlung der BVG-Einlage entzogen, wofür sie ebenfalls zu bestrafen seien (vgl. Urk. 12/1).</w:t>
      </w:r>
    </w:p>
    <w:p>
      <w:r>
        <w:rPr>
          <w:b/>
        </w:rPr>
        <w:t>E. 2</w:t>
      </w:r>
    </w:p>
    <w:p>
      <w:r>
        <w:t>Die Staatsanwaltschaft entschied am 14. Mai 2019, dass keine Strafunter- suchung an Hand genommen werde, da kein strafbares Verhalten ersichtlich sei (Urk. 3/2 = Urk. 5).</w:t>
      </w:r>
    </w:p>
    <w:p>
      <w:r>
        <w:rPr>
          <w:b/>
        </w:rPr>
        <w:t>E. 3</w:t>
      </w:r>
    </w:p>
    <w:p>
      <w:r>
        <w:t>A._____ (nachfolgend Beschwerdeführer) erhob am 23. Mai 2019 bei der III. Strafkammer des Obergerichts Zürich Beschwerde mit dem Antrag, die Nichtanhandnahmeverfügung sei aufzuheben und die Staatsanwaltschaft sei anzuweisen, gegen B._____, C._____ und D._____ (nachfolgend: Be-</w:t>
      </w:r>
    </w:p>
    <w:p>
      <w:r>
        <w:t>- 3 - schwerdegegner 1-3) resp. gegen die E._____ eine Strafuntersuchung zu eröffnen (Urk. 2).</w:t>
      </w:r>
    </w:p>
    <w:p>
      <w:r>
        <w:rPr>
          <w:b/>
        </w:rPr>
        <w:t>E. 4</w:t>
      </w:r>
    </w:p>
    <w:p>
      <w:r>
        <w:t>Der Beschwerdeführer leistete die ihm auferlegte Prozesskaution von CHF 1'500.-- rechtzeitig (vgl. Urk. 8).</w:t>
      </w:r>
    </w:p>
    <w:p>
      <w:r>
        <w:rPr>
          <w:b/>
        </w:rPr>
        <w:t>E. 5</w:t>
      </w:r>
    </w:p>
    <w:p>
      <w:r>
        <w:t>Nach dem Gesagten ist die Beschwerde abzuweisen. Ausgangsgemäss hat der Beschwerdeführer die Kosten des Beschwerdeverfahrens zu tragen (Art. 428 Abs. 1 StPO). Die Gerichtsgebühr ist unter Berücksichtigung der Bedeutung und Schwierigkeit des Falls und des Zeitaufwands für das Ge- richt auf CHF 800.-- festzusetzen (§ 2 Abs. 1 lit. b-d und § 17 Abs. 1 GebV OG). Die Gerichtsgebühr wird von der geleisteten Prozesskaution bezogen. Im darüber hinausgehenden Betrag ist die Kaution dem Beschwerdeführer unter Vorbehalt allfälliger Verrechnungsansprüche des Staates zurückzuer- statten. Die Beschwerdegegner 1-3 liessen sich nicht vernehmen. Die Zu- sprechung einer Entschädigung fällt demnach ausser Betracht.</w:t>
      </w:r>
    </w:p>
    <w:p>
      <w:r>
        <w:t>- 7 - Es wird beschlossen: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