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UE190016 vom 9. August 2019</w:t>
      </w:r>
    </w:p>
    <w:p>
      <w:r>
        <w:t>ZH Obergericht, 2019-08-09, DE</w:t>
      </w:r>
    </w:p>
    <w:p>
      <w:r>
        <w:rPr>
          <w:b/>
        </w:rPr>
        <w:t xml:space="preserve">Quelle: </w:t>
      </w:r>
      <w:r>
        <w:t>https://mcp.opencaselaw.ch/entscheid/zh_obergericht_UE190016</w:t>
      </w:r>
    </w:p>
    <w:p>
      <w:r>
        <w:t>FR: ZH_OBERGERICHT UE190016 du 9 août 2019</w:t>
      </w:r>
    </w:p>
    <w:p>
      <w:r>
        <w:t>IT: ZH_OBERGERICHT UE190016 del 9 agosto 2019</w:t>
      </w:r>
    </w:p>
    <w:p>
      <w:pPr>
        <w:pStyle w:val="Heading2"/>
      </w:pPr>
      <w:r>
        <w:t>Erwägungen</w:t>
      </w:r>
    </w:p>
    <w:p>
      <w:r>
        <w:rPr>
          <w:b/>
        </w:rPr>
        <w:t>E. 1</w:t>
      </w:r>
    </w:p>
    <w:p>
      <w:r>
        <w:t>stellten gleichentags je Strafantrag gegeneinander wegen Tätlichkeiten (Urk. 12/1/5-6). Mit anwaltlichem Schreiben vom 20. Januar 2017 liess C._____ zudem Strafantrag gegen den Beschwerdegegner 1 wegen Hausfriedensbruchs und die Beschwerdeführerin gegen D._____, eventualiter gegen den Beschwerdegegner 1, Strafantrag wegen einfacher Körperverletzung, eventuell Tätlichkeiten, sowie Hausfriedensbruchs stellen (Urk. 12/2/1). Gegen C._____ und die Beschwerde- führerin erfolgten Gegenanzeigen (vgl. Urk. 11 S. 2 oben). Die Untersuchung ge- gen den Beschwerdegegner 1 wurde durch die Jugendanwaltschaft See/Oberland (Jugendanwaltschaft), die Untersuchungen gegen C._____, die Beschwerdefüh- rerin und D._____ von der Staatsanwaltschaft See/Oberland geführt (vgl. z.B. Urk. 22/1-2 und Urk. 12/4/15).</w:t>
      </w:r>
    </w:p>
    <w:p>
      <w:r>
        <w:rPr>
          <w:b/>
        </w:rPr>
        <w:t>E. 1.2</w:t>
      </w:r>
    </w:p>
    <w:p>
      <w:r>
        <w:t>Die Jugendanwaltschaft erliess am 15. Januar 2019 gegen den Beschwerde- gegner 1 einen Strafbefehl. Er wurde der versuchten einfachen Körperverletzung im Sinne von Art. 123 Ziff. 1 StGB i.V.m. Art. 22 Abs. 1 StGB zum Nachteil von C._____ schuldig gesprochen und zu einer persönlichen Leistung von 2 Tagen im Sinne von Art. 23 JStG verpflichtet (Urk. 12/7).</w:t>
      </w:r>
    </w:p>
    <w:p>
      <w:r>
        <w:rPr>
          <w:b/>
        </w:rPr>
        <w:t>E. 1.3</w:t>
      </w:r>
    </w:p>
    <w:p>
      <w:r>
        <w:t>In Bezug auf die gestellten Strafanträge gegen den Beschwerdegegner 1 we- gen Hausfriedensbruchs war hingegen am 27. Dezember 2018 eine Einstellungs- verfügung ergangen (Urk. 12/6/1 bzw. Urk. 3). 2.1 Mit Schreiben vom 28. Januar 2019 erhob die Beschwerdeführerin gegen die Einstellungsverfügung vom 27. Dezember 2018 Beschwerde (Urk. 2). Darin bean- tragt sie sinngemäss die Beschwerdegutheissung, die Aufhebung der Verfügung und die Rückweisung der Sache an die Jugendanwaltschaft zur Neuentschei- dung. Die Beschwerdeführerin leistete die ihr auferlegte Prozesskaution von Fr. 1'500.-- fristgerecht (Urk. 6, Urk. 8).</w:t>
      </w:r>
    </w:p>
    <w:p>
      <w:r>
        <w:t>- 3 - 2.2 Die Jugendanwaltschaft beantragt in ihrer Stellungnahme zur Beschwerde formell deren Abweisung. Gemäss ihren Ausführungen ist sie jedoch der Ansicht, die Beschwerdeführerin sei bezüglich der gerügten Punkte nicht beschwerdelegi- timiert (Urk. 11). Der Beschwerdegegner 1 liess sich nicht vernehmen. In ihrer Replik halten die Beschwerdeführerin sinngemäss (Urk. 17), die Jugendanwalt- schaft in ihrer Duplik ausdrücklich an den zuvor gestellten Anträgen fest (Urk. 21). Die Beschwerdeführerin reichte eine Triplik ein (Urk. 25). Von der Fortsetzung des Schriftenwechsels wurde abgesehen. 2.3 Zufolge Ferienabwesenheit einer Oberrichterin ergeht dieser Beschluss teil- weise nicht in der den Parteien angekündigten Besetzung.</w:t>
      </w:r>
    </w:p>
    <w:p>
      <w:r>
        <w:rPr>
          <w:b/>
        </w:rPr>
        <w:t>E. 3</w:t>
      </w:r>
    </w:p>
    <w:p>
      <w:r>
        <w:t>Es geht aus den Akten nicht hervor, wann der Beschwerdeführerin die ange- fochtene Einstellungsverfügung zugestellt wurde. Es ist daher von ihrer Darstel- lung auszugehen, wonach die Zustellung am 18. Januar 2019 erfolgt sei. Somit ist von einer fristgerechten Beschwerdeerhebung auszugehen. 4.1 Hausfriedensbruch im Sinne von Art. 186 StGB ist ein Antragsdelikt. Nach der Praxis des Bundesgerichts liegt ein gültiger Strafantrag vor, wenn die antragsbe- rechtigte Person innert Frist bei der zuständigen Behörde ihren bedingungslosen Willen zur Strafverfolgung des Täters so erklärt, dass das Strafverfahren ohne weitere Willenserklärung weiterläuft (BGE 141 IV 380 E. 2.3.4 S. 387; Urteile 6B_303/2017 vom 16. November 2017 E. 6.3 und 6B_158/2018 vom 14.06.2018 Erw. 12, je m.H.). 4.2 Die Beschwerdeführerin liess durch ihren damaligen Vertreter in dessen (be- reits erwähnten) Schreiben vom 20. Januar 2017 (Urk. 12/2/1) gegen den Be- schwerdegegner 1 nur eventualiter Strafantrag stellen, wobei sich dieser offenbar einzig auf die einfache Körperverletzung, eventuell Tätlichkeit bezog (Urk. 12/2/1). Mit anderen Worten ist sehr fraglich, ob die Beschwerdeführerin damit unmissver- ständlich Strafantrag gegen den Beschwerdegegner 1 wegen Hausfriedensbruchs stellen liess. Die Jugendanwaltschaft geht indessen von einem entsprechenden Strafantrag der Beschwerdeführerin aus (vgl. Urk. 2 S. 1 Erw. 2 und S. 5 Disp.- Ziff. 5 sowie Urk. 11 S. 2 oben). Im Ergebnis ist dies zutreffend. Stellt ein An- tragsberechtigter gegen einen an der Tat Beteiligten Strafantrag, so sind alle Be-</w:t>
      </w:r>
    </w:p>
    <w:p>
      <w:r>
        <w:t>- 4 - teiligten zu verfolgen (Art. 32 StGB). Die Beschwerdeführerin liess im genannten Schreiben ausdrücklich gegen D._____ Strafantrag wegen Hausfriedensbruchs stellen. Damit wurde der Weg auch zur Verfolgung des Beschwerdegegners 1 wegen Hausfriedensbruchs geöffnet (vgl. auch Urteil des Bundesgerichts 6B_357/2013 vom 29.08.2013 Erw. 3.1). Indem die Beschwerdeführerin ausführen liess, die Straftatbestände gemäss den gestellten Strafanträgen seien erfüllt, weshalb (auch) der Beschwerdegegner 1 antragsgemäss zu bestrafen sei (Urk. 12/2/1 S. 6), liess sie sich bezüglich des Hausfriedensbruchs als Strafklägerin konstituieren (Art. 119 Abs. 2 lit. a StPO). 5.1 Zusammengefasst kam die Jugendanwaltschaft in der angefochtenen Einstel- lungsverfügung zum Schluss, aufgrund der widersprüchlichen Aussagen der di- versen am Vorfall Beteiligten und fehlender objektiver Beweismittel lasse sich nicht beweisen, dass der Beschwerdegegner 1 den Vorraum/Windfang der Woh- nung von C._____ und der Beschwerdeführerin bewusst ohne deren Einwilligung betreten habe bzw. gegen deren Anweisung darin verblieben sei. Deshalb habe der Tatbestand des Hausfriedensbruchs nicht erhärtet werden können, weshalb das Verfahren insofern einzustellen sei (Urk. 3, insbes. Erw. 4 f.). 5.2 Die Beschwerdeführerin macht in Beschwerde (Urk. 2), Replik (Urk. 17 S. 1-3) und Triplik (Urk. 25) geltend, in der Einstellungsverfügung sei der Würgegriff, in welchem sich ihr Mann befunden habe, zu Unrecht ausser Acht gelassen worden. Gemäss Art. 382 Abs. 1 StPO kann jede Partei, die ein rechtlich geschütztes Inte- resse an der Aufhebung oder Änderung eines Entscheides hat, ein Rechtsmittel ergreifen. Partei ist namentlich die Privatklägerschaft (Art. 104 Abs. 1 lit. b StPO). Als Privatklägerschaft gilt die geschädigte Person, die ausdrücklich erklärt, sich am Strafverfahren im Straf- oder Zivilpunkt zu beteiligen (Art. 118 Abs. 1 StPO). Geschädigt ist, wer durch die Straftat in seinen Rechten unmittelbar verletzt wor- den ist (Art. 115 Abs. 1 StPO). In seinen Rechten unmittelbar verletzt ist, wer Trä- ger des durch die verletzte Strafnorm geschützten oder zumindest mitgeschützten Rechtsgutes ist (Urteil des Bundesgerichts 6B_59/2018 vom 6. September 2018 E. 2.3).</w:t>
      </w:r>
    </w:p>
    <w:p>
      <w:r>
        <w:t>- 5 - Wie die Jugendanwaltschaft in ihrer Stellungnahme zur Beschwerde zutreffend ausführt (Urk. 11 S. 2 f.), ist die Beschwerdeführerin im gerügten Punkt nicht be- schwerdelegitimiert, weil sie durch den behaupteten Würgegriff zum Nachteil ihres Ehemannes nicht unmittelbar in ihren eigenen Rechten tangiert ist. Insofern ist somit auf die Beschwerde nicht einzutreten. Abgesehen davon übersieht die Be- schwerdeführerin ohnehin, dass Gegenstand der angefochtenen Einstellungsver- fügung nur der Vorwurf des Hausfriedensbruchs bildete. Die übrigen gegen den Beschwerdegegner 1 erhobenen Vorwürfe wurden von der Jugendanwaltschaft separat beurteilt. Gemäss Jugendanwaltschaft ist nunmehr hinsichtlich des be- haupteten "Würgegriffs" zum Nachteil von C._____ am 1. März 2019 eine Einstel- lungsverfügung ergangen, welche dieser akzeptiert habe (Urk. 21 S. 2). 5.3 Ferner rügt die Beschwerdeführerin, dass in der Einstellungsverfügung vom 27. Dezember 2018 auf das Schreiben ihres früheren Vertreters vom 18. Mai 2018 nicht eingegangen worden sei; in diesem Schreiben sei die Jugendanwalt- schaft erfolglos aufgefordert worden, sie als Zeugin einzuvernehmen (Urk. 2, Urk. 17 S. 3 f.). Die Jugendanwaltschaft führt hierzu im Wesentlichen aus, auch insofern sei die Beschwerdeführerin nicht direkt beschwert. Zufolge Interessenkollision habe der frühere gemeinsame Rechtsvertreter von C._____ und der Beschwerdeführerin - Rechtsanwalt Dr. iur. X._____ - erklärt, dass er künftig nur noch C._____ vertrete (Urk. 11 S. 2). In dem von der Beschwerdeführerin genannten Schreiben habe Rechtsanwalt X._____ Beweisanträge als Vertreter von C._____, mithin nicht im Namen der Beschwerdeführerin gestellt. Es trifft zu, dass Rechtsanwalt X._____ in seinem Schreiben vom 18. Mai 2018 Anträge "für seinen Klienten C._____" stellte (vgl. insbes. Urk. 4 S. 1). C._____ hat die vorliegend zur Diskussion stehende Einstellungsverfügung nicht angefoch- ten. Ob in diesem Lichte eine Beschwer der Beschwerdeführerin zu verneinen ist, kann offen bleiben. In der Einstellungsverfügung wurden die von der Beschwerdeführerin bei der Po- lizei deponierten Aussagen zur Thematik des Hausfriedensbruches berücksichtigt; die Beschwerdeführerin sagte bei der Polizei aus, sie habe D._____ und dem Be-</w:t>
      </w:r>
    </w:p>
    <w:p>
      <w:r>
        <w:t>- 6 - schwerdegegner 1 nicht gesagt, dass sie den Vorraum/Windfang der Wohnung wieder verlassen müssten (Urk. 3 S. 2 Erw. 4; Urk. 12/1/9 S. 3). Es ist der Ju- gendanwaltschaft beizupflichten, dass davon auszugehen wäre, die Beschwerde- führerin hätte in einer weiteren Befragung ihre früheren Aussagen im Wesentli- chen bestätigt (vgl. Urk. 11 S. 2 a.E.). Damit aber bliebe es dabei, dass deren Aussagen denjenigen von D._____ und des Beschwerdegegners 1 entgegenste- hen. Gemäss der Einstellungsverfügung führen die Aussagen dieser beiden Per- sonen dazu, dass sich der Vorwurf des Hausfriedensbruchs nicht rechtsgenügend erstellen lässt. Mit den entsprechenden Erwägungen der Einstellungsverfügung setzt sich die Beschwerdeführerin nicht auseinander. In Würdigung der massge- benden Umstände ist es nicht zu beanstanden, dass die Jugendanwaltschaft die Beschwerdeführerin - im Ergebnis im Sinne einer antizipierter Einschätzung der Beweislage - nicht als Zeugin befragt hat. Die Beschwerde erweist sich somit in diesem Punkt als unbegründet.</w:t>
      </w:r>
    </w:p>
    <w:p>
      <w:r>
        <w:rPr>
          <w:b/>
        </w:rPr>
        <w:t>E. 6</w:t>
      </w:r>
    </w:p>
    <w:p>
      <w:r>
        <w:t>Abschliessend ist festzuhalten, dass die Beschwerde abzuweisen ist, soweit auf sie einzutreten ist.</w:t>
      </w:r>
    </w:p>
    <w:p>
      <w:r>
        <w:rPr>
          <w:b/>
        </w:rPr>
        <w:t>E. 7</w:t>
      </w:r>
    </w:p>
    <w:p>
      <w:r>
        <w:t>Die unterliegende Beschwerdeführerin hat ausgangsgemäss die Kosten des Beschwerdeverfahrens zu tragen (Art. 428 Abs. 1 StPO). Die Gerichtsgebühr ist in Anwendung von § 2 und § 17 GebV OG auf Fr. 800.– festzusetzen und aus der geleisteten Prozesskaution zu beziehen; im übersteigenden Betrag ist die Kaution der Beschwerdeführerin, unter Vorbehalt allfälliger Verrechnungsansprüche des Staates, zurückzuerstatten. Entschädigungen sind nicht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