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UE190009 vom 29. April 2019</w:t>
      </w:r>
    </w:p>
    <w:p>
      <w:r>
        <w:t>ZH Obergericht, 2019-04-29, DE</w:t>
      </w:r>
    </w:p>
    <w:p>
      <w:r>
        <w:rPr>
          <w:b/>
        </w:rPr>
        <w:t xml:space="preserve">Quelle: </w:t>
      </w:r>
      <w:r>
        <w:t>https://mcp.opencaselaw.ch/entscheid/zh_obergericht_UE190009</w:t>
      </w:r>
    </w:p>
    <w:p>
      <w:r>
        <w:t>FR: ZH_OBERGERICHT UE190009 du 29 avril 2019</w:t>
      </w:r>
    </w:p>
    <w:p>
      <w:r>
        <w:t>IT: ZH_OBERGERICHT UE190009 del 29 aprile 2019</w:t>
      </w:r>
    </w:p>
    <w:p>
      <w:pPr>
        <w:pStyle w:val="Heading2"/>
      </w:pPr>
      <w:r>
        <w:t>Erwägungen</w:t>
      </w:r>
    </w:p>
    <w:p>
      <w:r>
        <w:rPr>
          <w:b/>
        </w:rPr>
        <w:t>E. 1</w:t>
      </w:r>
    </w:p>
    <w:p>
      <w:r>
        <w:t>Mit Schreiben vom 14. November 2018 wandte sich A._____ (nachfolgend: Beschwerdeführer) an die Staatsanwaltschaft Zürich-Limmat (nachfolgend:</w:t>
      </w:r>
    </w:p>
    <w:p>
      <w:r>
        <w:t>- 2 - Staatsanwaltschaft) und erstattete Strafanzeige gegen die B._____ (nachfolgend: Beschwerdegegnerin 1). Er führte einleitend aus, er sei seit Beginn seines Ar- beitsverhältnisses bei der Beschwerdegegnerin 1 wiederholt schikaniert und mit falschen Anschuldigungen konfrontiert worden. Über sechs Seiten hinweg erhob er zahlreiche Vorwürfe, die allesamt im Zusammenhang mit seinem ehemaligen Arbeitsverhältnis stehen (vgl. Urk. 34/1). Am 20. November 2018 korrigierte der Beschwerdeführer per E-Mail den Titel seiner Strafanzeige und reichte anschlies- send am 26. November 2018 elektronisch eine ergänzte Version seiner Strafan- zeige vom selben Datum bei der Staatsanwaltschaft ein (vgl. Urk. 34/3/1-3). Die ergänzte Version ist bis auf eine Anpassung der von ihm aufgeführten Arbeits- stunden bzw. der Berechnung der Gleitzeit sowie Überstunden identisch mit der ursprünglich eingereichten Strafanzeige. Darüber hinaus reichte er bei der Staatsanwaltschaft eine Vielzahl von Beilagen ein und sandte ihr zahlreiche E- Mails (vgl. Urk. 34/2/1-11, Urk. 34/3/4-7 und Urk. 34/6/1-16).</w:t>
      </w:r>
    </w:p>
    <w:p>
      <w:r>
        <w:rPr>
          <w:b/>
        </w:rPr>
        <w:t>E. 1.1</w:t>
      </w:r>
    </w:p>
    <w:p>
      <w:r>
        <w:t>Das Einreichen einer Strafanzeige begründet keinen Anspruch auf Eröffnung einer Untersuchung und Durchführung eines Strafverfahrens (BSK StPO- Riedo/Boner, 2. Aufl., Basel 2014, Art. 301 N 6). Inhaltlich werden gewisse Anfor- derungen an eine Strafanzeige gestellt. Eine Erklärung gegenüber einer Behörde ist nur dann als Strafanzeige zu betrachten (und entsprechend zu behandeln), wenn sie auf eine konkrete angeblich strafbare Handlung Bezug nimmt (StPO- Riedo/Boner, a.a.O., Art. 301 N 11; vgl. sodann Oberholzer, Grundzüge des Strafprozessrechts, 3. Aufl., Bern 2012, N 1329). Die Strafanzeige ist eine Erklä- rung, aus der sich ergibt, wer welchen Sachverhalt aufgrund welcher Informatio- nen oder Erkenntnisse den Strafbehörden im Hinblick auf die Anhandnahme von Ermittlungen zur Kenntnis gibt. Sie beinhaltet im Wesentlichen eine Sachverhalts- feststellung, Angaben zu den beteiligten Personen, persönliche Wahrnehmungen und weitere Informationen zum angezeigten Tatvorgang (Albertini, in: Alberti- ni/Fehr/Voser, Polizeiliche Ermittlung, VSKC-Handbuch, Zürich 2008, S. 550). Da- raus folgt, dass der Anzeigeerstatter den Strafverfolgungsbehörden möglichst de- tailliert Aufschluss darüber zu erteilen hat, welcher strafbaren Handlungen er die beschuldigte Person bezichtigt. In diesem Stadium des Verfahrens trifft den An- zeigeerstatter eine gewisse minimale Substantiierungspflicht (Zweidler, Die Praxis zur thurgauischen Strafprozessordnung, Bern 2005, S. 322). Pauschale Behaup- tungen und Schuldzuweisungen ohne Hinweis auf einen spezifischen Sachverhalt sind keine Strafanzeigen im Sinne von Art. 301 StPO. In diesen Fällen begründet die StPO grundsätzlich keine Pflicht zur förmlichen Behandlung der Eingabe (BSK StPO-Riedo/Boner, a. a. O., Art. 301 N 11; vgl. sodann Landshut/Bosshard, in:</w:t>
      </w:r>
    </w:p>
    <w:p>
      <w:r>
        <w:t>- 5 - Donatsch/Hansjakob/Lieber, StPO Komm., 2. Aufl., Zürich/Basel/Genf 2014, Art. 301 N 2).</w:t>
      </w:r>
    </w:p>
    <w:p>
      <w:r>
        <w:rPr>
          <w:b/>
        </w:rPr>
        <w:t>E. 1.2</w:t>
      </w:r>
    </w:p>
    <w:p>
      <w:r>
        <w:t>Ergibt sich aus einer Strafanzeige ein hinreichender Tatverdacht, verfügt die Untersuchungsbehörde gemäss Art. 309 Abs. 1 lit. a StPO die Eröffnung einer Untersuchung. Gelangt sie hingegen zum Schluss, dass die fraglichen Straftatbe- stände oder die Prozessvoraussetzungen eindeutig nicht erfüllt sind, oder Verfah- renshindernisse bestehen, verfügt sie die Nichtanhandnahme (Art. 310 Abs. 1 lit. a und b StPO). Eine Nichtanhandnahmeverfügung kann auch bei Fehlen eines zureichenden Verdachts erlassen werden, etwa wenn sich aus einer Anzeige kei- ne deliktsrelevanten Anhaltspunkte feststellen lassen. Die zur Eröffnung einer Strafuntersuchung erforderlichen tatsächlichen Hinweise auf eine strafbare Hand- lung müssen von erheblicher und konkreter Natur sein. Blosse Gerüchte oder Vermutungen genügen nicht (Urteile 6B_897/2015 vom 7. März 2016 E. 2.1 und 6B_455/2015 vom 26. Oktober 2015 E. 4.1; vgl. sodann Hürlimann, Die Eröffnung einer Strafuntersuchung im ordentlichen Verfahren gegen Erwachsene im Kanton Zürich, Diss. 2006, S. 182 f.; Landshut/Bosshard, a.a.O., Art. 310 N 4, m.w.H.). Massgebend für den Entscheid über die Untersuchungseröffnung ist der aus dem Legalitätsprinzip fliessende Grundsatz "in dubio pro duriore" (vgl. Urteil 6B_1085/2018 vom 20. Februar 2019 E. 4.1 m.H.). Danach ist die Untersuchung insbesondere dann fortzuführen bzw. anzuheben, wenn eine Verurteilung wahr- scheinlicher erscheint als ein Freispruch (vgl. BGE 138 IV 86 = Pra 101 [2012] Nr. 114, 90 E. 4.1.1). In diesem Rahmen verfügen die Untersuchungsbehörden über einen gewissen Ermessensspielraum (BGE 138 IV 186, 190 E. 4.1, m.H.).</w:t>
      </w:r>
    </w:p>
    <w:p>
      <w:r>
        <w:rPr>
          <w:b/>
        </w:rPr>
        <w:t>E. 2</w:t>
      </w:r>
    </w:p>
    <w:p>
      <w:r>
        <w:t>Die Staatsanwaltschaft nahm mit Verfügung vom 3. Januar 2019 eine Straf- untersuchung nicht an Hand, da sich aus den Akten kein strafrechtlich relevantes Verhalten ergeben habe und die Voraussetzungen für die Eröffnung einer Unter- suchung nicht gegeben seien (Urk. 34/4 = Urk. 3/2). Gegen die Nichtanhandnah- meverfügung erhob der Beschwerdeführer mit Eingabe vom 20. Januar 2019 in- nert Frist Beschwerde und beantragte sinngemäss deren Aufhebung (vgl. Urk. 2).</w:t>
      </w:r>
    </w:p>
    <w:p>
      <w:r>
        <w:rPr>
          <w:b/>
        </w:rPr>
        <w:t>E. 2.1</w:t>
      </w:r>
    </w:p>
    <w:p>
      <w:r>
        <w:t>Vorab ist festzuhalten, dass sich der Beschwerdeführer in seiner Beschwer- deschrift weitestgehend nicht mit der Nichtanhandnahmeverfügung auseinander- setzt und lediglich bemängelt, die Staatsanwaltschaft sei nicht auf die Tatbestän- de der Nötigung und des Betrugs eingegangen (vgl. Urk. 2 bzw. Urk. 3/2). Im vom Beschwerdeführer nicht gerügten Umfang kann daher auf die zutreffenden Aus- führungen der Staatsanwaltschaft in der Nichtanhandnahmeverfügung verwiesen werden.</w:t>
      </w:r>
    </w:p>
    <w:p>
      <w:r>
        <w:t>- 6 -</w:t>
      </w:r>
    </w:p>
    <w:p>
      <w:r>
        <w:rPr>
          <w:b/>
        </w:rPr>
        <w:t>E. 2.2</w:t>
      </w:r>
    </w:p>
    <w:p>
      <w:r>
        <w:t>Es stimmt nicht, dass die Staatsanwaltschaft in der Nichtanhandnahmever- fügung nicht auf die vom Beschwerdeführer beanzeigte Nötigung eingegangen ist. Vielmehr hat sie richtig erwogen, dass es sich bei dem vom Beschwerdeführer beanstandeten Vergleichsangebot nicht um eine versuchte Nötigung handelte, da es dem Beschwerdeführer offen stand, dieses zu akzeptieren oder seine Forde- rungen zivilrechtlich durchzusetzen (Urk. 3/2 S. 4). So macht sich der Nötigung nur strafbar, wer jemanden durch Gewalt oder Androhung ernstlicher Nachteile oder andere Beschränkung seiner Handlungsfreiheit nötigt, etwas zu tun, zu un- terlassen oder zu dulden (Art. 181 StGB). Wie bereits erwähnt, nimmt der Beschwerdeführer in seiner Beschwerdeschrift Bezug auf Vorwürfe, die nicht in seiner Strafanzeige enthalten waren. Darauf ist nicht weiter einzugehen. Die übrigen von ihm aufgeführten Anschuldigungen, die sich auch in der Strafanzeige finden lassen, erfüllen den Tatbestand der Nötigung offensichtlich nicht. Insbesondere erfolgte die Aufforderung zur Offenlegung (und auch Löschung) der geschäftlichen E-Mails, die sich der Beschwerdeführer an seine private E-Mailadresse geschickt haben soll, selbst nach seiner Darstellung ohne die Androhung von konkreten Nachteilen, weshalb bereits deshalb keine Nötigung vorliegen kann (vgl. Urk. 34/1 S. 4 f. und Urk. 34/2/4). Im Hinweis auf die Geheimhaltungspflicht bzw. auf allfällige Folgen deren Verletzung (vgl. Urk. 34/2/7 und 9) kann kein Androhen eines ernstlichen Nachteils erblickt werden, zumal so- gar das Drohen mit rechtlichen Schritten straf- oder zivilrechtlicher Art nur dann rechtswidrig ist, wenn zwischen dem Straftatbestand, der angezeigt werden soll, und der gestellten Forderung ein sachlicher Zusammenhang fehlt oder wenn mit der Drohung ein ungerechtfertigter Vorteil erlangt werden respektive wenn das Vorgehen der Durchsetzung einer nicht bestehenden Forderung dienen soll (vgl. dazu Urteile 6B_979/2018 vom 21. März 2019 E. 1.2.5 bzw. 6B_1074/2016 vom 20. Juli 2017 E. 2.1.2 und 2.3.2).</w:t>
      </w:r>
    </w:p>
    <w:p>
      <w:r>
        <w:rPr>
          <w:b/>
        </w:rPr>
        <w:t>E. 2.3</w:t>
      </w:r>
    </w:p>
    <w:p>
      <w:r>
        <w:t>Des Betrugs macht sich strafbar, wer in der Absicht sich oder einen andern unrechtmässig zu bereichern, jemanden durch Vorspiegelung oder Unterdrückung von Tatsachen arglistig irreführt oder ihn in seinem Irrtum arglistig bestärkt und so den Irrenden zu einem Verhalten bestimmt, wodurch dieser sich selbst oder einen</w:t>
      </w:r>
    </w:p>
    <w:p>
      <w:r>
        <w:t>- 7 - anderen am Vermögen schädigt (Art. 146 Abs. 1 StGB). Die Täuschung ist arglis- tig, wenn der Täter ein Lügengebäude errichtet oder sich besonderer Machen- 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(vgl. Urteil 6B_22/2019 vom 22. März 2019 E. 3.2). Den Vorwurf des Betrugs hatte der Beschwerdeführer in seiner Strafanzeige nicht erhoben. Die von ihm nun unter dem Titel Betrug in seiner Beschwerdeschrift auf- geführten Anschuldigungen finden sich aber im Wesentlichen schon in seiner Strafanzeige. Hinsichtlich der angeblich veränderten Arbeitsrapporte mangelt es allerdings bereits an der Arglist. Selbst wenn der vom Beschwerdeführer erhobe- ne Vorwurf zutreffend sein sollte, wusste er hingegen zweifellos, wie hoch seine täglich Sollarbeitszeit war, und es war ihm ein Leichtes, die in den Arbeitsrappor- ten aufgeführten Sollzeiten zu überprüfen. Mit der Überprüfung durch den Be- schwerdeführer war denn auch zu rechnen, da eben gerade der Ferien- und Gleitzeitsaldo im Streit liegt (vgl. Urk. 34/1 S. 6 und Urk. 34/2/11). Eine arglistige Täuschung liegt daher insoweit nicht vor. In Bezug auf die dem Beschwerdeführer gemäss seinen Angaben verweigerte Auszahlung von Mehrstunden ist gar nicht erst ersichtlich, worin die Täuschungshandlung bestehen soll, zumal ihm aus- drücklich mitgeteilt wurde, der Gleitzeitsaldo sei durch die Freistellung abgegolten worden (vgl. Urk. 34/2/7 und 9). Ob dies im Rahmen des Arbeitsverhältnisses zu- lässig war, ist keine strafrechtliche Frage und hier nicht zu beantworten. Gleiches gilt betreffend das fehlende Anstellungsreglement. Es war offensichtlich, dass sich die Einverständniserklärung auf die Anstellungsbedingungen bezog, auch wenn sie dem E-Mail, mit welchem der Beschwerdeführer sie erhalten hatte, offenbar nicht angehängt war (vgl. Urk. 34/2/3). Es stand ihm frei, die Erklärung ohne Kenntnisnahme des Anstellungsreglements zu unterzeichnen oder dieses anzu-</w:t>
      </w:r>
    </w:p>
    <w:p>
      <w:r>
        <w:t>- 8 - fordern und, wie auf der Einverständniserklärung angemerkt, sorgfältig durchzule- sen. Eine Täuschungshandlung liegt auch hier nicht vor.</w:t>
      </w:r>
    </w:p>
    <w:p>
      <w:r>
        <w:rPr>
          <w:b/>
        </w:rPr>
        <w:t>E. 3</w:t>
      </w:r>
    </w:p>
    <w:p>
      <w:r>
        <w:t>Zusammengefasst liegen daher keine Hinweise dafür vor, dass jemandem in dem vom Beschwerdeführer geltend gemachten Zusammenhang ein nötigendes oder betrügerisches Verhalten vorgeworfen werden könnte. Daran ändern auch die nachträglich zur Beschwerdeschrift vom Beschwerdeführer noch eingereich- ten Eingaben und Beilagen nichts. Anhaltspunkte für andere strafbare Handlun- gen oder Unterlassungen, die Gegenstand des Beschwerdeverfahrens bilden könnten, sind weder aus der Beschwerdeschrift noch aus den Akten ersichtlich und werden vom Beschwerdeführer nicht auf plausible Art und Weise konkreti- siert. Die vom Beschwerdeführer beanzeigten Sachverhalte betreffen allesamt ei- ne arbeits- und damit rein zivilrechtliche Streitigkeit. Es ist nicht Aufgabe der Strafbehörden auf das Zivilrecht begrenzte Angelegenheiten aufzuarbeiten, nur weil sich eine Partei dadurch bessere Chancen vor dem Arbeitsgericht erhofft (vgl. Urk. 2 S. 2). Somit nahm die Staatsanwaltschaft eine Untersuchung zu Recht nicht an Hand. Dies führt zur Abweisung der Beschwerde, soweit darauf einzutre- ten ist.</w:t>
      </w:r>
    </w:p>
    <w:p>
      <w:r>
        <w:rPr>
          <w:b/>
        </w:rPr>
        <w:t>E. 4</w:t>
      </w:r>
    </w:p>
    <w:p>
      <w:r>
        <w:t>Der Beschwerdeführer bemängelte verschiedentlich die Arbeit des fallfüh- renden Staatsanwalts (vgl. Urk. 2 S. 2, Urk. 8, Urk. 11, Urk. 13, Urk. 17, Urk. 20, Urk. 23 und Urk. 36). Die Nichtanhandnahmeverfügung ist jedoch nicht zu bean- standen und der Beschwerdeführer belegte seine pauschal gehaltenen Vorwürfe nicht. Insbesondere liegt angesichts seiner umfangreichen Strafanzeige und den zahlreichen weiteren von ihm eingereichten Eingaben und Beilagen keine schlep- pende Behandlung der Sache vor und es sind keine Ausstandsgründe im Sinne von Art. 56 StPO ersichtlich. Entsprechend ist darauf nicht weiter einzugehen.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