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UE180305 vom 1. Juli 2019</w:t>
      </w:r>
    </w:p>
    <w:p>
      <w:r>
        <w:t>ZH Obergericht, 2019-07-01, DE</w:t>
      </w:r>
    </w:p>
    <w:p>
      <w:r>
        <w:rPr>
          <w:b/>
        </w:rPr>
        <w:t xml:space="preserve">Quelle: </w:t>
      </w:r>
      <w:r>
        <w:t>https://mcp.opencaselaw.ch/entscheid/zh_obergericht_UE180305</w:t>
      </w:r>
    </w:p>
    <w:p>
      <w:r>
        <w:t>FR: ZH_OBERGERICHT UE180305 du 1 juillet 2019</w:t>
      </w:r>
    </w:p>
    <w:p>
      <w:r>
        <w:t>IT: ZH_OBERGERICHT UE180305 del 1 luglio 2019</w:t>
      </w:r>
    </w:p>
    <w:p>
      <w:pPr>
        <w:pStyle w:val="Heading2"/>
      </w:pPr>
      <w:r>
        <w:t>Erwägungen</w:t>
      </w:r>
    </w:p>
    <w:p>
      <w:r>
        <w:rPr>
          <w:b/>
        </w:rPr>
        <w:t>E. 1</w:t>
      </w:r>
    </w:p>
    <w:p>
      <w:r>
        <w:t>Mit Eingabe vom 20. Juli 2018 erstattete A._____ (nachfolgend: Beschwer- deführerin) bei der Staatsanwaltschaft Zürich-Limmat (nachfolgend: Staatsanwalt- schaft) Strafanzeige gegen Dr. med. B._____ (nachfolgend: Beschwerdegegner 1) wegen missbräuchlich erhobener Leistungen sowie wegen Betrugs (Urk. 15/4).</w:t>
      </w:r>
    </w:p>
    <w:p>
      <w:r>
        <w:rPr>
          <w:b/>
        </w:rPr>
        <w:t>E. 2</w:t>
      </w:r>
    </w:p>
    <w:p>
      <w:r>
        <w:t>Die Staatsanwaltschaft verfügte am 30. Oktober 2018 die Nichtanhandnah- me einer Strafuntersuchung wegen Betrugs etc. (Urk. 3). Die Nichtanhandnahme- verfügung ging dem Rechtsvertreter der Beschwerdeführerin am 5. November 2018 zu (Urk. 15/9, Urk. 38).</w:t>
      </w:r>
    </w:p>
    <w:p>
      <w:r>
        <w:rPr>
          <w:b/>
        </w:rPr>
        <w:t>E. 3</w:t>
      </w:r>
    </w:p>
    <w:p>
      <w:r>
        <w:t>Die Beschwerdeführerin liess mit Eingabe vom 14. November 2018 innert Frist Beschwerde erheben und folgende Anträge stellen (Urk. 2 S. 2): "Die Nichtanhandnahmeverfügung vom 30. Oktober 2018, eingegangen am 5.11.18 sei aufzuheben und das Verfahren sei zur unverzüglichen weiteren Verfolgung an die Staatsanwaltschaft zu retournieren. Alles unter Kosten- und Entschädigungsfolgen zu Lasten der Be- schwerdegegnerin."</w:t>
      </w:r>
    </w:p>
    <w:p>
      <w:r>
        <w:rPr>
          <w:b/>
        </w:rPr>
        <w:t>E. 4</w:t>
      </w:r>
    </w:p>
    <w:p>
      <w:r>
        <w:t>Der Beschwerdegegner 1 führte mit seiner Stellungnahme stark zusammen- gefasst aus, er habe die Beschwerdeführerin darauf aufmerksam gemacht, dass ihr aufgrund ihres Versicherungsstatus als allgemeinversicherte Patientin ohne Zusatzversicherungsdeckungen kein Anrecht auf eine freie Arztwahl für eine im Spital stationär durchzuführende Behandlung zustehe, und ihr offeriert, sich in ei- nem Spital ihrer Wahl durch die dort angestellten Spitalärzte operieren zu lassen. Die Beschwerdeführerin habe sich dennoch entschlossen, den bevorstehenden chirurgischen Eingriff durch ihn persönlich durchführen zu lassen. Er habe sie in- formiert, dass er Patienten mit lediglich einer allgemeinen Grundkrankenkassen- versicherung ausschliesslich auf der Basis eines privatrechtlich vereinbarten ein- maligen Zusatzhonorars operiere, wobei er explizit darauf hingewiesen habe,</w:t>
      </w:r>
    </w:p>
    <w:p>
      <w:r>
        <w:t>- 6 - dass es sich bei dem Zusatzhonorar um eine zwischen ihr und ihm auf Basis ei- ner privatrechtlich getroffenen Vereinbarung zu leistende Vergütung handle, wel- che nicht durch die Krankenkasse als Leistungserbringerin gedeckt sei und ent- sprechend nicht von der Krankenkasse zurückgefordert werden könne. Die Be- hauptung der Beschwerdeführerin in der Strafanzeige, wonach er ihr gesagt habe, dass es sich bei diesem Zusatzhonorar um eine reguläre Zusatzzahlung handeln würde, sei falsch. Ferner sei unzutreffend, dass er darauf insistiert habe, den Ein- griff selbst durchzuführen, oder sich als der Beste auf seinem Gebiet gerühmt ha- be, er habe lediglich auf seine langjährige Erfahrungen sowie auf die Zufrieden- heit ehemaliger Patienten verwiesen. Der Beschwerdeführerin sei es zu jedem Zeitpunkt freigestanden, sich durch einen anderen Arzt untersuchen und letztlich operieren zu lassen (Urk. 20 S. 2 ff.).</w:t>
      </w:r>
    </w:p>
    <w:p>
      <w:r>
        <w:rPr>
          <w:b/>
        </w:rPr>
        <w:t>E. 5</w:t>
      </w:r>
    </w:p>
    <w:p>
      <w:r>
        <w:t>In ihrer Replik lässt die Beschwerdeführerin ergänzend vorbringen, es gehe im vorliegenden Beschwerdeverfahren ausschliesslich darum, ob eine Einstel- lungsverfügung (recte: Nichtanhandnahmeverfügung) zu Recht habe ergehen dürfen, mithin eine klare Straflosigkeit beziehungsweise ein offensichtliches Feh- len einer Prozessvoraussetzung vorliege. Damit seien sämtliche Sachverhaltsdar- stellungen des Beschwerdegegners 1 nicht Gegenstand des vorliegenden Verfah- rens und aus dem Recht zu weisen (Urk. 25 S. 2). Anlässlich des Strafverfahrens werde sich wohl einfach belegen lassen, wie der Beschwerdegegner 1 genau informiert und Druck ausgeübt habe, da auch andere Patienten davon betroffen seien. Insbesondere die Information des Be- schwerdegegners 1 kurz vor einer grossen und sehr unangenehmen Operation, dass sie sich für die Operation auch einen anderen Arzt suchen könne, zeige den Druck, der auf sie ausgeübt worden sei (Urk. 25 S. 2 und 4). Es handle sich vorliegend nicht um "klares Recht", sondern um einen durch einen Richter zu beurteilenden Sachverhalt des Strafrechts. Da "es" kein Einzel- fall zu sein scheine, bestehe auch für den Rechtsstaat ein Interesse an der Klä- rung des Tatbestands (Urk. 25 S. 2). Die Ausführungen des Beschwerdegegners 1 träfen für den Allgemeinpatienten nicht zu, dessen rechtliche Ausführungen be- zögen sich auf privat- und halbprivatversicherte Patienten und nicht auf allge-</w:t>
      </w:r>
    </w:p>
    <w:p>
      <w:r>
        <w:t>- 7 - meinversicherte Patienten. Die freie Arztwahl stelle eben keine echte Mehrleis- tung dar. Vergütet würden der Aufenthalt und die Operation durch einen Arzt. Da- bei entscheide der Arzt selbst, ob er die Operation durchführen wolle oder nicht. Gemäss der Rechtsprechung des Bundesgerichts bestehe aber genau kein Raum, sich diese Entscheidung innerhalb des Tarifschutzes separat vergüten zu lassen, da insbesondere die Leistung des Arztes darin bestehe, die bereits be- zahlte Operation durchzuführen. Auch würde dies zu einer massiven Ausdehnung der Kosten für den Patienten im obligatorischen Bereich führen, was nicht der Grundgedanke des Tarifschutzes und des Gesetzes gewesen sei. Ferner könnte gleiches sogar für spitalinterne Ärzte herangezogen werden. Wer sich von einem erfahrenen Arzt operieren lassen wolle, hätte einen Zuschlag zu bezahlen; dieses Vorgehen widerspreche diametral den Anliegen des KVG (Urk. 25 S. 5 f.).</w:t>
      </w:r>
    </w:p>
    <w:p>
      <w:r>
        <w:rPr>
          <w:b/>
        </w:rPr>
        <w:t>E. 6</w:t>
      </w:r>
    </w:p>
    <w:p>
      <w:r>
        <w:t>Der Beschwerdegegner 1 bestritt auch mit seiner Duplik eine Strafbarkeit des ihm vorgeworfen Verhaltens (vgl. Urk. 30). 7.1. Die Staatsanwaltschaft eröffnet eine Strafuntersuchung, wenn sich aus den Informationen und Berichten der Polizei, aus der Strafanzeige oder aus ihren ei- genen Feststellungen ein hinreichender Tatverdacht ergibt (Art. 309 Abs. 1 lit. a StPO). Sie verzichtet auf die Eröffnung, wenn sie sofort eine Nichtanhandnahme- verfügung erlässt (Art. 309 Abs. 4 StPO). Die Nichtanhandnahme wird verfügt, sobald aufgrund der Strafanzeige oder des Polizeirapports feststeht, dass die fraglichen Straftatbestände eindeutig nicht erfüllt sind (Art. 310 Abs. 1 lit. a StPO). Mit anderen Worten muss sicher sein, dass der Sachverhalt unter keinen Straftat- bestand fällt. Eine Nichtanhandnahme darf nur in sachverhaltsmässig und recht- lich klaren Fällen ergehen (BGE 137 IV 285 E. 2.2 f.). 7.2. Die Beschwerdeführerin macht eine Verletzung des Tarifschutzes im Sinne von Art. 44 in Verbindung mit der Strafbestimmung von Art. 92 KVG geltend. Ge- mäss Art. 92 KVG wird mit Geldstrafe bis zu 180 Tagessätzen, sofern nicht ein mit einer höheren Strafe bedrohtes Verbrechen oder Vergehen des Strafgesetz- buchs vorliegt, bestraft wer sich durch unwahre oder unvollständige Angaben oder in anderer Weise der Versicherungspflicht ganz oder teilweise entzieht (lit. a) durch unwahre oder unvollständige Angaben oder in anderer Weise für sich oder</w:t>
      </w:r>
    </w:p>
    <w:p>
      <w:r>
        <w:t>- 8 - andere Leistungen nach diesem Gesetz, die ihm nicht zukommen, erwirkt (lit. b) oder Vergünstigungen nach Artikel 56 Absatz 3 nicht weitergibt (lit. d). Zunächst ist darauf hinzuweisen, dass unter Art. 92 lit. b KVG – lit. a und lit. d derselben Bestimmung fallen ohnehin nicht in Betracht; lit c ist aufgehoben – nur das Verhalten eines Leistungserbringers fällt, welches die obligatorische Krankenpflegeversicherung zu Unrecht dazu veranlasst, zu seinen Gunsten oder zu Gunsten eines Dritten, etwa des Versicherten oder eines anderen Leistungser- bringers, Leistungen zu bezahlen (vgl. Athanasopoulos, Fehlbare Leistungser- bringer in der Krankenversicherung - Von der Verletzung des Wirtschaftlichkeits- gebots bis zum Betrug, ZStöR, Band/Nr. 213, S. 126 f. RZ 250 f.). Nach Art. 44 Abs. 1 KVG müssen sich die Leistungserbringer sodann an die vertraglich oder behördlich festgelegten Tarife und Preise halten und dürfen für Leistungen nach diesem Gesetz keine weitergehenden Vergütungen berechnen (Tarifschutz). Zusatzhonorare im Bereich der stationären Behandlung sind nur für echte Mehrleistungen zulässig, die über den Leistungsumfang der obligatorischen Krankenpflegeversicherung hinausgehen. Darunter fällt ein besserer Spitalkomfort beziehungsweise die luxuriöse Hotellerie in der Privat- oder Halbprivatabteilung sowie auch die freie Arztwahl im Spital (vgl. BGE 135 V 443 E. 2.2 mit weiteren Hinweisen auf Rechtsprechung insbesondere BGE 130 I 306 E. 2.2 und BGE 126 III 345 E. 3 und Lehre). Gemäss bundesgerichtlicher Rechtsprechung stellt die freie Arztwahl im stationären Bereich eine erhebliche Mehrleistung dar, welche weit über die obligatorische Krankenversicherung hinausgeht. Der Tarifschutz gemäss Art. 44 KVG beschränkt sich in diesem Bereich darauf, dass der Versi- cherer nach KVG jene Kosten übernehmen muss, welche sich ergeben würden, wenn die versicherte Person in der allgemeinen Abteilung behandelt worden wä- re. Vorliegend kann aus der Strafanzeige kein konkreter Hinweis entnommen werden, dass die obligatorische Krankenpflegeversicherung zu Unrecht dazu ver- anlasst wurde, Leistungen nach dem KVG zu bezahlen. Die Beschwerdeführerin reichte diesbezüglich mit ihrer Strafanzeige auch keine entsprechenden Unterla- gen ihrer Krankenpflegeversicherung ein.</w:t>
      </w:r>
    </w:p>
    <w:p>
      <w:r>
        <w:t>- 9 - Ferner geht sodann aus der eingereichten, von der Beschwerdeführerin un- terzeichneten "Vereinbarung" vom 19. Juli 2017 deutlich hervor, dass sie aus- drücklich eine Operation durch den Beschwerdegegner 1 wünschte. Der "Verein- barung" kann auch klar die Information entnommen werden, dass die Kranken- kasse diese zusätzlichen Kosten nicht übernehmen wird (Urk. 15/4). Damit und angesichts der bundesgerichtlichen Rechtsprechung zur freien Arztwahl genügt das Vorbringen in der Strafanzeige vom 20. Juli 2018, wonach es sich um einen von der Krankenkasse übernommenen Eingriff nach KVG handle, weshalb kein Zusatzhonorar zulässig sei und damit ein Verstoss gegen Art. 92 in Verbindung mit Art. 44 KVG vorliege, nicht, um ein strafbares Verhalten darzulegen. Die Strafanzeige enthält auch keine weiteren Hinweise, welche auf eine strafrechtlich relevante Verletzung des Tarifschutzes gemäss Art. 44 KVG hindeuten. Ob die privatrechtliche "Vereinbarung" zwischen der Beschwerdeführerin und dem Be- schwerdegegner 1 allenfalls zivilrechtlich anfechtbar ist, ist vorliegend daher von den Strafverfolgungsbehörden nicht zu überprüfen; ebenso ist über den Weg des Strafverfahrens keine eigentliche aufsichtsrechtliche Überprüfung des Beschwer- degegners 1 vorzunehmen. Sodann ist ferner darauf hinzuweisen, dass keine konkreten Anhaltspunkte erkennbar sind, wonach der Beschwerdegegner 1 mit den vereinbarten 2'000 Franken eine Abgeltung erhielt, die bereits durch die Grundversicherung gedeckt war. Der Inhalt der Vereinbarung regelt alleine die freie Arztwahl. Auch wird von der Beschwerdeführerin weder behauptet, noch ist aus den Akten ersichtlich, dass der Beschwerdegegner 1 vorgetäuscht hätte, die Operation werde von der Kasse nur finanziert, wenn sie durch ihn vorgenommen werde. Dass sich die Be- schwerdeführerin in ihrer Situation allenfalls unter Druck fühlte, mag angesichts ihres Versicherungsstatus eventuell zutreffen. Über letzteres hinausgehende kon- krete Hinweise, wonach der Beschwerdegegner 1 die Beschwerdeführerin unter Druck gesetzt hätte, dass sie die Operation durch ihn durchführen lassen solle beziehungsweise er das Vertrauensverhältnis ausgenützt hätte, liegen jedoch nicht vor. Alleine aus dem einem Arzt-Patienten-Verhältnis immanenten Vertrau- ensverhältnis kann vorliegend nicht auf ein arglistiges Verhalten im Sinne von Art.</w:t>
      </w:r>
    </w:p>
    <w:p>
      <w:r>
        <w:t>- 10 - 146 Abs. 1 StGB geschlossen werden. Damit findet sich auch kein Hinweis auf ein strafrechtliches Verhalten im Sinne von Art. 146 Abs. 1 StGB. Die Nichtanhandnahme durch die Staatsanwaltschaft erfolgte zu Recht. Damit ist die Beschwerde abzuweisen. III. 1. Ausgangsgemäss ist die Gerichtsgebühr für das Beschwerdeverfahren der unterliegenden Beschwerdeführerin aufzuerlegen (Art. 428 Abs. 1 StPO). Diese ist in Beachtung der Bemessungskriterien von § 2 Abs. 1 lit. b-d GebV OG (Be- deutung des Falls, Zeitaufwand des Gerichts, Schwierigkeit des Falls) sowie ge- stützt auf § 17 Abs. 1 GebV OG auf 1000 Franken festzusetzen und aus der ge- leisteten Prozesskaution zu beziehen; im Restbetrag ist die Prozesskaution der Beschwerdeführerin zurückzuerstatten, unter Vorbehalt allfälliger Verrechnungs- ansprüche des Staats. Aufgrund ihres Unterliegens ist der Beschwerdeführerin keine Entschädigung zuzusprechen. 2. Der Beschwerdegegner 1 beantragt eine Entschädigung für das Beschwer- deverfahren (Urk. 20 S. 15). Eine Entschädigung für den persönlichen Zeitauf- wand (Aktenstudium, Verfassen von Eingaben, Teilnahme an Verhandlungen etc.) von nicht anwaltlich vertretenen Personen oder Beschuldigten ist in der Strafprozessordnung ebenso wenig vorgesehen wie bei anwaltlich vertretenen Personen, die trotz der anwaltlichen Verteidigung in der Regel eigene Zeit für ihre Verteidigung aufwenden müssen. Eine Parteientschädigung könnte allenfalls zu- gesprochen werden, wenn "besondere Verhältnisse" dies rechtfertigen. Solche liegen vor, wenn es sich a) um eine komplizierte Sache mit hohem Streitwert han- delt, b) die Interessenwahrung einen hohen Arbeitsaufwand notwendig macht, der den Rahmen dessen überschreitet, was der Einzelne üblicher- und zumutbarer Weise nebenbei zur Besorgung der persönlichen Angelegenheiten auf sich zu nehmen hat, und c) zwischen dem betriebenen Aufwand und dem Ergebnis der Interessenwahrung ein vernünftiges Verhältnis besteht (vgl. für bundesgerichtliche Verfahren: Urteil des Bundesgerichts 6B_1125/2016 E. 2.2 mit Hinweis auf Urteil</w:t>
      </w:r>
    </w:p>
    <w:p>
      <w:r>
        <w:t>- 11 - 6B_251/2015 vom 24. August 2015 E. 2.3.1 ff., wonach bei einem Aufwand von 22 Stunden besondere Verhältnisse verneint wurden). Der Beschwerdegegner 1 liess sich im Beschwerdeverfahren persönlich mit einer 15-seitigen Stellungnah- me sowie einer 9-seitigen Duplik vernehmen (Urk. 20, Urk. 30), womit nach den genannten Voraussetzungen und der Rechtsprechung des Bundesgerichts gera- de noch keine wesentlichen Aufwendungen des Beschwerdegegners 1 erfolgten; damit ist auch dem Beschwerdegegner 1 keine Entschädigung für das Beschwer- deverfahren auszurichten. Damit kann offen gelassen werden, ob diese Recht- sprechung auf StPO-Verfahren überhaupt Anwendung findet.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