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UE180269 vom 2. April 2019</w:t>
      </w:r>
    </w:p>
    <w:p>
      <w:r>
        <w:t>ZH Obergericht, 2019-04-02, DE</w:t>
      </w:r>
    </w:p>
    <w:p>
      <w:r>
        <w:rPr>
          <w:b/>
        </w:rPr>
        <w:t xml:space="preserve">Quelle: </w:t>
      </w:r>
      <w:r>
        <w:t>https://mcp.opencaselaw.ch/entscheid/zh_obergericht_UE180269</w:t>
      </w:r>
    </w:p>
    <w:p>
      <w:r>
        <w:t>FR: ZH_OBERGERICHT UE180269 du 2 avril 2019</w:t>
      </w:r>
    </w:p>
    <w:p>
      <w:r>
        <w:t>IT: ZH_OBERGERICHT UE180269 del 2 aprile 2019</w:t>
      </w:r>
    </w:p>
    <w:p>
      <w:pPr>
        <w:pStyle w:val="Heading2"/>
      </w:pPr>
      <w:r>
        <w:t>Erwägungen</w:t>
      </w:r>
    </w:p>
    <w:p>
      <w:r>
        <w:rPr>
          <w:b/>
        </w:rPr>
        <w:t>E. 1</w:t>
      </w:r>
    </w:p>
    <w:p>
      <w:r>
        <w:t>StGB und arglistiger Vermögensschädigung im Sinne von Art. 151 StGB (Urk. 21 [Akten der Staatsanwaltschaft A-6/2017/10019033] /6). Damit machte er im Wesentlichen geltend, der Beschwerdegegner 1 vertrete ihn seit Juni 2007 als Steuervertreter im ordentlichen Veranlagungsverfahren im Kanton St. Gallen. Im Zusammenhang mit den Steuerveranlagungen für die Jahre 2011 und 2012 habe der Beschwerdegegner 1 entgegen Aufforderungen seitens des kantonalen Steu- eramtes St. Gallen und des Beschwerdeführers vom Steueramt verlangte Buch- haltungsunterlagen nicht eingereicht. Das steuerbare Einkommen des Beschwer- deführers sei deshalb im Rahmen einer Ermessenseinschätzung viel zu hoch veranlagt worden. Gleichwohl habe der Beschwerdegegner 1 gegen die entspre- chenden Veranlagungsverfügungen 2011 und 2012 keine Einsprache erhoben und auch den Beschwerdeführer nicht wahrheitsgemäss informiert. Dadurch sei dem Beschwerdeführer ein Schaden von mindestens Fr. 64'498.85 entstanden. Der Beschwerdegegner 1 sei als "Treuhänder/Steuerberater" Mandatar gewesen und als Geschäftsführer im Sinne von Art. 158 StGB zu qualifizieren. Er habe sei- ne auftragsrechtlichen Pflichten nicht erfüllt, sondern im Gegenteil während eines längeren Zeitraums wiederholt und in schwerer Weise gegen die Interessen sei- nes Auftraggebers gehandelt, indem er jegliche Mitwirkung mit den Steuerbehör- den unterlassen und dies gegenüber dem Beschwerdeführer nicht nur verschwie- gen, sondern diesen auch bewusst falsch informiert habe. Dadurch habe er die Tatbestände von Art. 158 Ziff. 1 StGB und von Art. 151 StGB erfüllt (Urk. 21/6).</w:t>
      </w:r>
    </w:p>
    <w:p>
      <w:r>
        <w:rPr>
          <w:b/>
        </w:rPr>
        <w:t>E. 2</w:t>
      </w:r>
    </w:p>
    <w:p>
      <w:r>
        <w:t>Die Staatsanwaltschaft beauftragte am 12. Juli 2017 die Kantonspolizei Zürich mit Ermittlungen (Urk. 21/2). Die Polizei befragte am 17. November 2017</w:t>
      </w:r>
    </w:p>
    <w:p>
      <w:r>
        <w:t>- 3 - den Beschwerdeführer (Urk. 21/3) und am 30. November 2017 den Beschwerde- gegner 1 (Urk. 21/4) und erstellte am 11. Dezember 2017 einen Polizeirapport zuhanden der Staatsanwaltschaft (Urk. 21/1). Mit Verfügung vom 25. September 2018 nahm diese eine Untersuchung nicht an die Hand (Urk. 21/10 = Urk. 4/1).</w:t>
      </w:r>
    </w:p>
    <w:p>
      <w:r>
        <w:rPr>
          <w:b/>
        </w:rPr>
        <w:t>E. 3</w:t>
      </w:r>
    </w:p>
    <w:p>
      <w:r>
        <w:t>Gegen die staatsanwaltschaftliche Nichtanhandnahmeverfügung vom 25. September 2018 reichte der Beschwerdeführer am 4. Oktober 2018 bei der hiesigen Kammer eine Beschwerde ein. Damit beantragt er, die angefochtene Nichtanhandnahmeverfügung sei aufzuheben und die Sache sei zur Eröffnung einer Strafuntersuchung an die Staatsanwaltschaft zurückzuweisen (Urk. 2 S. 2).</w:t>
      </w:r>
    </w:p>
    <w:p>
      <w:r>
        <w:rPr>
          <w:b/>
        </w:rPr>
        <w:t>E. 4</w:t>
      </w:r>
    </w:p>
    <w:p>
      <w:r>
        <w:t>Die ihm auferlegte Prozesskaution von Fr. 2'000.-- (Urk. 6) leistete der Beschwerdeführer bzw. dessen Vertreter fristgerecht (Urk. 12).</w:t>
      </w:r>
    </w:p>
    <w:p>
      <w:r>
        <w:rPr>
          <w:b/>
        </w:rPr>
        <w:t>E. 5</w:t>
      </w:r>
    </w:p>
    <w:p>
      <w:r>
        <w:t>Der Beschwerdegegner 1 beantragt mit einer Eingabe vom 26. November 2018 die Abweisung der Beschwerde (Urk. 18). Auch die Staatsanwaltschaft be- antragt mit einer Vernehmlassung vom 7. Dezember 2018 die Abweisung der Be- schwerde (Urk. 20). Mit einer Replik vom 30. Januar 2019 hält der Beschwerde- führer an seinen Anträgen fest (Urk. 29). Die Staatsanwaltschaft verzichtete expli- zit auf eine Duplik (Urk. 34). Auch der Beschwerdegegner 1 hält in einer Duplik vom 15. Februar 2019 an seinen Anträgen fest (Urk. 36). Diese Duplik wurde dem Beschwerdeführer zugestellt (Urk. 38 und Urk. 39). Er äusserte sich nicht mehr. Die Sache ist spruchreif.</w:t>
      </w:r>
    </w:p>
    <w:p>
      <w:r>
        <w:rPr>
          <w:b/>
        </w:rPr>
        <w:t>E. 6</w:t>
      </w:r>
    </w:p>
    <w:p>
      <w:r>
        <w:t>Wurden bereits Untersuchungshandlungen vorgenommen, die grundsätz- lich nach der Eröffnung des Strafverfahrens zu tätigen sind, hat die Staatsanwalt- schaft, wenn sie zur Überzeugung kommt, dass kein Straftatbestand erfüllt ist, das Verfahren durch Einstellung nach Art. 319 StPO und nicht durch Nichtan- handnahme nach Art. 310 StPO abzuschliessen. Anders verhält es sich bei der blossen Erteilung eines Ermittlungsauftrags an die Polizei nach Art. 307 Abs. 2 StPO. Eine Nichtanhandnahme des Strafverfahrens ist auch nach einem polizeili- chen Ermittlungsverfahren im Sinne von Art. 306 f. StPO noch zulässig (Urteil des Bundesgerichts 6B_264/2017 vom 26. Oktober 2017 E. 2.2.2 m.w.H.). Die Parteien haben vor dem Erlass einer Nichtanhandnahmeverfügung kei- nen generellen Anspruch auf rechtliches Gehör (Urteil des Bundesgerichts 6B_1096/2018 vom 25. Januar 2019 E. 2.2). Überdies verfügt die hiesige Kam- mer im Beschwerdeverfahren sowohl in rechtlicher als auch in tatsächlicher Hin- sicht über eine volle Kognition (Art. 393 Abs. 2 StPO), so dass eine allfällige Ver- letzung des rechtlichen Gehörs in diesem Beschwerdeverfahren geheilt worden wäre (Urteile des Bundesgerichts 6B_290/2017, 6B_1187/2017 je vom 27. No- vember 2017 E. 2.4 m.w.H. sowie 6B_264/2017 vom 26. Oktober 2017 E. 2.2.3 und 2.3).</w:t>
      </w:r>
    </w:p>
    <w:p>
      <w:r>
        <w:t>- 8 - Nach Eingang der Strafanzeige vom 7. Juni 2017 erteilte die Staatsanwalt- schaft der Kantonspolizei einen Auftrag für polizeiliche Ermittlungen gemäss Art. 309 Abs. 2 StPO (Urk. 21/2). Die Polizei nahm solche Ermittlungen vor, indem sie den Beschwerdeführer und den Beschwerdegegner 1 befragte (Urk. 21/3+4) und eine Auskunft von C._____ vom Kantonalen Steueramt St. Gallen einholte (Urk. 21/1 S. 3). Am 11. Dezember 2017 rapportierte die Polizei an die Staatsan- waltschaft (Urk. 21/1). Darauf erliess die Staatsanwaltschaft ohne eigene Unter- suchungshandlungen am 25. September 2018 die angefochtene Nichtanhand- nahmeverfügung (Urk. 21/10). Im Gegensatz zur Auffassung in der Beschwerde (Urk. 2 S. 5 Ziff. 15) eröffnete die Staatsanwaltschaft keine Untersuchung, son- dern nahm eine solche nach den polizeilichen Ermittlungen nicht an die Hand. Das war zulässig, auch wenn zwischen dem Polizeirapport vom 11. Dezember 2017 und dem Erlass der Nichtanhandnahmeverfügung vom 25. September 2018 geraume Zeit lag. Vor Erlass der Nichtanhandnahmeverfügung musste die Staats- anwaltschaft gemäss der zitierten bundesgerichtlichen Rechtsprechung dem Be- schwerdeführer kein Gehör gewähren. Seine formellen Rügen gehen fehl.</w:t>
      </w:r>
    </w:p>
    <w:p>
      <w:r>
        <w:rPr>
          <w:b/>
        </w:rPr>
        <w:t>E. 7</w:t>
      </w:r>
    </w:p>
    <w:p>
      <w:r>
        <w:t>Der Beschwerdeführer wirft dem Beschwerdegegner 1 ungetreue Ge- schäftsbesorgung im Sinne von Art. 158 Ziff. 1 Abs. 1 StGB und arglistige Vermö- gensschädigung im Sinne von Art. 151 StGB vor (Urk. 21/6 S. 10 f. Ziff. 22 ff., S. 12 f. Ziff. 28 ff.; Urk. 2 S. 8 Ziff. 25).</w:t>
      </w:r>
    </w:p>
    <w:p>
      <w:r>
        <w:rPr>
          <w:b/>
        </w:rPr>
        <w:t>E. 7.1</w:t>
      </w:r>
    </w:p>
    <w:p>
      <w:r>
        <w:t>Ungetreue Geschäftsbesorgung im Sinne von Art. 158 Ziff. 1 Abs. 1 StGB kann nur begehen, wer - u.a. aufgrund eines Rechtsgeschäfts - damit be- traut ist, Vermögen eines andern zu verwalten oder eine solche Vermögensver- waltung zu beaufsichtigen. Im Zentrum des Treubruchtatbestandes steht der Be- griff des Geschäftsführers, wobei die nach Art. 159 aStGB entwickelten Kriterien zur Festlegung dieses Begriffs nach wie vor gültig sind. Geschäftsführer in diesem Sinne ist, wer in tatsächlich oder formell selbständiger und verantwortlicher Stel- lung im Interesse eines andern für einen nicht unerheblichen Vermögenskomplex zu sorgen hat (BSK StGB-Niggli, 4. Auflage 2019, Art. 158 N 13 m.w.H.; Trechsel/ Crameri, in: Trechsel/Pieth [Hrsg.], Schweizerisches Strafgesetzbuch, Praxis- kommentar, 3. Auflage 2018, Art. 158 N 2 m.w.H.). Bereits aus der Formulierung</w:t>
      </w:r>
    </w:p>
    <w:p>
      <w:r>
        <w:t>- 9 - des Gesetzes, "wer […] verwaltet", aber auch aus der Grundbedingung der be- sonderen Treuepflicht folgt, dass als Geschäftsführer nur erscheint, wer befugt ist, selbständig über fremdes Vermögen oder Teile davon, über Betriebsmittel oder Personal eines Unternehmens zu verfügen (BSK StGB-Niggli, Art. 158 N 18 m.w.H.). Ausgeschlossen bleibt jedenfalls ein einzelner Auftrag, weil er für sich alleine nicht als Geschäftsführung qualifiziert werden kann, sondern unter Art. 158 Ziff. 2 StGB subsumiert werden müsste (BSK StGB-Niggli, Art. 158 N 51). Anders als der Geschäftsführer nach Ziff. 1 muss der Täter beim Missbrauchstatbestand (Ziff. 2) nicht zwingend über wesentliche Vermögensbestandteile verfügen dürfen (BSK StGB-Niggli, Art. 158 N 144). Erforderlich ist ein hohes Mass an Selbstän- digkeit mit Bezug auf die Verwaltung des betreffenden Vermögens. Ausdruck der Selbständigkeit ist in erster Linie, dass der Verwalter über wesentliche bzw. nicht unerhebliche Bestandteile des Vermögens - wenn auch im Rahmen genereller Weisungen - eigenständig verfügen kann. Vermögensverwalter ist etwa derjenige, der über Bank- und Postguthaben verfügungsberechtigt ist, in leitender Stellung über die Betriebsmittel und das Personal eines Unternehmens disponiert oder in eigener Verantwortlichkeit für den Bestand und die Unversehrtheit von Gütern zu sorgen hat (Andreas Donatsch, Strafrecht III, Delikte gegen den Einzelnen,</w:t>
      </w:r>
    </w:p>
    <w:p>
      <w:r>
        <w:rPr>
          <w:b/>
        </w:rPr>
        <w:t>E. 7.2</w:t>
      </w:r>
    </w:p>
    <w:p>
      <w:r>
        <w:t>Es ist nicht ersichtlich, dass der Beschwerdegegner 1 mit einer Vermö- gensverwaltung für den Beschwerdeführer betraut gewesen ist. In der Strafanzei-</w:t>
      </w:r>
    </w:p>
    <w:p>
      <w:r>
        <w:t>- 10 - ge machte der Beschwerdeführer geltend, der Beschwerdegegner 1 sei als "Treuhänder/Steuerberater" Mandatar gewesen. Als Steuervertreter habe er die auftragsrechtliche Pflicht übernommen, den Beschwerdeführer gegenüber den Steuerbehörden in allen Steuerfragen zu beraten und zu vertreten (Urk. 21/6 S. 10 f. Ziff. 24; vgl. auch S. 1 f. Ziff. 1 f.). In der Beschwerde machte der Be- schwerdeführer überdies geltend, der Beschwerdegegner 1 sei "Buchhalter, Treuhänder und Steuerberater" gewesen und als solcher damit betraut, die finan- ziellen Interessen des Beschwerdeführers zu wahren (Urk. 2 S. 8 Ziff. 25). Dass der Beschwerdegegner 1 im Sinne von Art. 158 Ziff. 1 Abs. 1 StGB und der vor- zitierten Lehre und der von dieser zitierten Rechtsprechung dazu mit einer Ver- waltung des Vermögens des Beschwerdeführers oder eines Teils dieses Vermö- gens betraut gewesen wäre, folgt weder aus diesen Darstellungen des Beschwer- deführers noch aus den Akten. Insbesondere folgt daraus nicht, dass der Be- schwerdegegner 1 befugt gewesen wäre, über Vermögen des Beschwerdeführers oder Teile davon zu verfügen. Die vom Beschwerdeführer behauptete auftrags- rechtliche Pflicht zur Beratung und Vertretung gegenüber den Steuerbehörden - ähnlich einer rechtsanwaltlichen Pflicht zur Beratung und Vertretung eines Klien- ten in einem vermögensrechtlichen Prozess - beinhaltet insbesondere keine Be- fugnis zur Verfügung über Vermögen des Beschwerdeführers und damit keine Vermögensverwaltung im zitierten Sinne. Auch wenn die Interessenvertretung eines Klienten in einem steuerrechtlichen Verfahren (wie die anwaltliche Vertre- tung in einem vermögensrechtlichen Zivilprozess) auch als "Geschäftsführung" bezeichnet werden kann, handelt es sich dabei nicht um eine Geschäftsführung im Sinne von Art. 158 Ziff. 1 StGB, und auch wenn das Verhalten eines Vertreters in einem solchen Verfahren vermögensrelevant sein kann, wenn der Vertretene durch die Behörde bzw. das Gericht zu einer Leistung verpflichtet wird, handelt es sich bei diesem Verhalten des Vertreters nicht um eine Verfügung über das Ver- mögen des Vertretenen. Der vom Beschwerdeführer gegenüber dem Beschwerdegegner 1 erhobene Vorwurf der ungetreuen Geschäftsbesorgung im Sinne von Art. 158 Ziff. 1 Abs. 1 StGB geht schon mangels der Voraussetzung der Vermögensverwaltung durch den Beschwerdegegner 1 fehl. Dieser Straftatbestand ist schon aufgrund der Dar-</w:t>
      </w:r>
    </w:p>
    <w:p>
      <w:r>
        <w:t>- 11 - stellung des Beschwerdeführers eindeutig nicht erfüllt. Insoweit nahm die Staats- anwaltschaft eine Untersuchung gestützt auf Art. 310 Abs. 1 lit. a StPO zu Recht nicht an die Hand.</w:t>
      </w:r>
    </w:p>
    <w:p>
      <w:r>
        <w:rPr>
          <w:b/>
        </w:rPr>
        <w:t>E. 7.3</w:t>
      </w:r>
    </w:p>
    <w:p>
      <w:r>
        <w:t>Arglistige Vermögensschädigung im Sinne von Art. 151 StGB ist ein An- tragsdelikt. Eine Strafverfolgung erfordert einen gültigen Strafantrag (Art. 303 Abs. 1 StPO). Das Antragsrecht erlischt nach Ablauf von drei Monaten. Die Frist beginnt mit dem Tag, an welchem der antragsberechtigten Person der Täter be- kannt wird (Art. 31 StGB). Die Kenntnis des Täters setzt begrifflich die Kenntnis der Tat voraus. Zur Fristauslösung ist demnach zweierlei erforderlich: Kenntnis der Tat und Kenntnis des Täters (BSK StGB-Riedo, Art. 31 N 6 m.w.H.; vgl. auch Trechsel/Jean-Richard, in: Trechsel/Pieth, a.a.O., Art. 31 N 3).</w:t>
      </w:r>
    </w:p>
    <w:p>
      <w:r>
        <w:rPr>
          <w:b/>
        </w:rPr>
        <w:t>E. 7.4</w:t>
      </w:r>
    </w:p>
    <w:p>
      <w:r>
        <w:t>Mit Schreiben vom 3. Juni 2014 an den Beschwerdegegner 1 warf ihm die damalige Vertreterin des Beschwerdeführers, MLE X2._____, im Wesentlichen genau das vor, was ihm der Beschwerdeführer in der Strafanzeige vom 7. Juni 2017 vorwarf, nämlich auf die Aufforderungen des Steueramtes vom</w:t>
      </w:r>
    </w:p>
    <w:p>
      <w:r>
        <w:rPr>
          <w:b/>
        </w:rPr>
        <w:t>E. 11</w:t>
      </w:r>
    </w:p>
    <w:p>
      <w:r>
        <w:t>Auflage 2018, Art. 158, S. 319 f.; vgl. auch Donatsch, OFK-StGB, 20. Auflage 2018, Art. 158 N 2). Die Pflicht, fremdes Vermögen zu verwalten, ist zunächst nur gegeben, wenn der Verpflichtete zur selbständigen Verfügung über das fremde Vermögen oder Bestandteile eines solchen befugt ist. Dagegen scheiden alle mit untergeordneten Verrichtungen verknüpften Pflichten aus, mögen sie auch die Besorgung fremden Vermögens zum Gegenstand haben (wie etwa die Tätigkeit eines Buchhalters) (Stratenwerth/Jenny/Bommer, Schweizerisches Strafrecht, Besonderer Teil I, 7. Auflage 2010, S. 467 f.; vgl. auch Trechsel/Crameri, a.a.O., Art. 158 N 4). Beim verwalteten Vermögen muss es sich um einen Vermögens- komplex handeln. Der Auftrag, ein einzelnes Vermögensstück zu verwalten, ge- nügt nicht, sondern ist ggfs. unter Art. 158 Ziff. 2 StGB zu subsumieren (Trechsel/ Crameri, a.a.O., Art. 158 N 7).</w:t>
      </w:r>
    </w:p>
    <w:p>
      <w:r>
        <w:rPr>
          <w:b/>
        </w:rPr>
        <w:t>E. 14</w:t>
      </w:r>
    </w:p>
    <w:p>
      <w:r>
        <w:t>November 2013 und vom 9. Januar 2014 zur Einreichung von Unterlagen kei- ne Unterlagen eingereicht zu haben, worauf das Steueramt das Einkommen des Beschwerdeführers für die Steuerjahre 2011 und 2012 mit Verfügungen vom</w:t>
      </w:r>
    </w:p>
    <w:p>
      <w:r>
        <w:rPr>
          <w:b/>
        </w:rPr>
        <w:t>E. 18</w:t>
      </w:r>
    </w:p>
    <w:p>
      <w:r>
        <w:t>Februar 2014 auf je Fr. 250'000.-- eingeschätzt habe. Der Beschwerdegegner 1 habe den Beschwerdeführer über diese Entscheide nicht ins Bild gesetzt und auch unterlassen, diese Entscheide anzufechten. Die Veranlagungsverfügungen 2011 und 2012 seien schon längst rechtskräftig geworden. Aufgrund der ermes- sensweisen Einschätzung sei dem Beschwerdeführer ein Schaden von insgesamt Fr. 64'498.85 entstanden. In rechtlicher Hinsicht müsse klarerweise der Vorwurf der Sorgfaltspflichtverletzung erhoben werden (Urk. 30/5; vgl. damit die Strafan- zeige Urk. 21/6). Dem Beschwerdeführer waren Tat und Täter somit bereits im Juni 2014 be- kannt. Bis zur Strafanzeige vom 7. Juni 2017 stellte er aber soweit ersichtlich kei- nen Strafantrag. Das Antragsrecht war zum Zeitpunkt dieser Strafanzeige längst erloschen.</w:t>
      </w:r>
    </w:p>
    <w:p>
      <w:r>
        <w:t>- 12 - Nichts daran ändert die Darstellung des Beschwerdeführers in der Be- schwerde, erst als das Verwaltungsgericht des Kantons St. Gallen im Entscheid vom 20. Januar 2017 sein Revisionsgesuch innerkantonal letztinstanzlich ab- gewiesen habe, sei festgestanden, dass überhaupt ein bezifferbarer Schaden entstanden sei (Urk. 2 S. 4 Ziff. 11, S. 9 Ziff. 30). Abgesehen davon, dass bereits mit dem Schreiben von X2._____ vom 3. Juni 2014 aufgrund rechtskräftiger Ver- anlagungsverfügungen ein Schaden mit Fr. 64'498.85 auf Franken und Rappen und in exakt derselben Höhe wie in der Strafanzeige vom 7. Juni 2017 (Urk. 21/6 S. 8 Ziff. 18) beziffert wurde, wäre selbst dann, wenn dieser Schaden wie in der Beschwerde geltend gemacht erst mit dem Entscheid des Verwaltungsgerichts des Kantons St. Gallen vom 20. Januar 2017 festgestanden hätte, die dreimonati- ge Strafantragsfrist am 7. Juni 2017, als die Strafanzeige eingereicht wurde, be- reits erloschen gewesen. Ohnehin hindert aber die theoretische Möglichkeit einer Revision eines rechtskräftigen Entscheides den Lauf der Strafantragsfrist nicht. Bei Antragsdelikten ist ein gültiger Strafantrag Prozessvoraussetzung (BSK StGB-Riedo, N 108 zu Art. 30; vgl. auch Landshut/Bosshard und Yvona Griesser, in: Donatsch/Hansjakob/Lieber [Hrsg.], Kommentar zur Schweizerischen Strafpro- zessordnung, 2. Auflage 2014, Art. 303 N 11 und N 12 sowie 329 N 10). Fehlt ein gültiger Strafantrag und ist das Antragsrecht erloschen, ist im Sinne von Art. 310 Abs. 1 lit. a StPO eine Prozessvoraussetzung eindeutig nicht erfüllt. Zu Recht nahm deshalb die Staatsanwaltschaft auch insoweit eine Untersuchung nicht an die Hand. 8. Zusammenfassend ist festzustellen, dass der Straftatbestand der unge- treuen Geschäftsbesorgung im Sinne von Art. 158 Ziff. 1 StGB schon aufgrund des vom Beschwerdeführer geschilderten Sachverhalts eindeutig nicht erfüllt ist und dass bezüglich der vorgeworfenen arglistigen Vermögensschädigung im Sin- ne von Art. 151 StGB der für eine Strafverfolgung erforderliche gültige Strafantrag fehlt und damit eine Prozessvoraussetzung eindeutig nicht erfüllt ist. Im Ergebnis zu Recht nahm deshalb die Staatsanwaltschaft eine Untersuchung gestützt auf Art. 310 Abs. 1 lit. a StPO nicht an die Hand. Die Beschwerde ist abzuweisen.</w:t>
      </w:r>
    </w:p>
    <w:p>
      <w:r>
        <w:t>- 13 - III. 1. Ausgangsgemäss sind die Kosten des Beschwerdeverfahrens dem Be- schwerdeführer aufzuerlegen (Art. 428 Abs. 1 StPO). Die Gerichtsgebühr ist in Anwendung von § 17 Abs. 1 GebV OG i.V. mit § 2 Abs. 1 lit. b - d GebV OG auf Fr. 2'000.-- festzusetzen und aus der vom Beschwerdeführer geleisteten Pro- zesskaution (Urk. 6, Urk. 12) zu beziehen. 2. Da der Beschwerdeführer im Beschwerdeverfahren unterliegt, ist ihm keine Prozessentschädigung zuzusprechen. 3. Wird das ausschliesslich vom Privatkläger erhobene Rechtsmittel abge- wiesen, hat er die durch die adäquate Wahrnehmung der Verfahrensrechte ent- standenen Verteidigungskosten der beschuldigten Person zu tragen (OGer ZH, III. Strafkammer, Geschäfts-Nr. UE180040, Beschluss vom 28. Juni 2018 Erw. II.8.2 mit Hinweis auf das Urteil des Bundesgerichts 6B_273/2017 vom 17. März 2017 E. 2 [m.w.H.]). Der Beschwerdeführer hat demnach den Beschwer- degegner 1 für dessen anwaltliche Aufwendungen im Beschwerdeverfahren zu entschädigen. Der Verteidiger des Beschwerdegegners 1 reichte keine Honorar- note ein und stellte keinen konkreten Antrag. Die Entschädigung richtet sich nach der Verordnung über die Anwaltsgebühren (vgl. § 1 Abs. 1 AnwGebV). Der Be- schwerdegegner 1 zog erst im Beschwerdeverfahren einen Verteidiger bei. Dieser reichte eine Beschwerdeantwort (Urk. 18) und eine Duplik (Urk. 36) ein. In An- wendung von § 19 Abs. 1 i.V. mit § 2 Abs. 1 AnwGebV ist die Entschädigung für den Beschwerdegegner 1 auf Fr. 2'000.-- (inkl. Mehrwertsteuer) festzusetzen.</w:t>
      </w:r>
    </w:p>
    <w:p>
      <w:r>
        <w:t>- 14 - Es wird beschlossen: 1. Die Beschwerde wird abgewiesen. 2. Die Gerichtsgebühr für das Beschwerdeverfahren wird auf Fr. 2'000.-- fest- gesetzt, dem Beschwerdeführer auferlegt und aus der von diesem geleiste- ten Prozesskaution bezogen. 3. Der Beschwerdeführer wird verpflichtet, dem Beschwerdegegner 1 für das Beschwerdeverfahren eine Prozessentschädigung von Fr. 2'000.-- (inkl. MwSt) zu bezahlen. 4. Schriftliche Mitteilung an: − Rechtsanwalt lic. iur. X1._____, zweifach, für sich und für den Beschwerdeführer (per Gerichtsurkunde) − Rechtsanwalt lic. iur. Y._____, zweifach, für sich und für den Beschwerdegegner 1 (per Gerichtsurkunde) − die Staatsanwaltschaft See / Oberland, ad LTG2/2017/10019033 (gegen Empfangsbestätigung) sowie nach Ablauf der Rechtsmittelfrist bzw. nach Erledigung allfälliger Rechtsmittel an: − die Staatsanwaltschaft See / Oberland, ad LTG2/2017/10019033, unter Rücksendung der beigezogenen Akten (Urk. 21) (gegen Empfangs- bestätigung) − die Zentrale Inkassostelle der Gerichte (elektronisch) 5. Rechtsmittel: Gegen diesen Entscheid kann Beschwerde in Strafsachen erhoben wer- den. Die Beschwerde ist innert 30 Tagen, vom Empfang an gerechnet, bei der Strafrechtlichen Abteilung des Bundesgerichtes (1000 Lausanne 14) in der in Art. 42 des Bundesgerichtsgesetzes vorgeschriebenen Weise schriftlich einzureichen.</w:t>
      </w:r>
    </w:p>
    <w:p>
      <w:r>
        <w:t>- 15 - Die Beschwerdelegitimation und die weiteren Beschwerdevoraussetzungen richten sich nach den massgeblichen Bestimmungen des Bundesgerichts- gesetzes. Zürich, 2. April 2019 Obergericht des Kantons Zürich III. Strafkammer Präsident: Gerichtsschreiber: lic. iur. A. Flury lic. iur. C. Tschurr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