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UE180263 vom 10. Dezember 2018</w:t>
      </w:r>
    </w:p>
    <w:p>
      <w:r>
        <w:t>ZH Obergericht, 2018-12-10, DE</w:t>
      </w:r>
    </w:p>
    <w:p>
      <w:r>
        <w:rPr>
          <w:b/>
        </w:rPr>
        <w:t xml:space="preserve">Quelle: </w:t>
      </w:r>
      <w:r>
        <w:t>https://mcp.opencaselaw.ch/entscheid/zh_obergericht_UE180263</w:t>
      </w:r>
    </w:p>
    <w:p>
      <w:r>
        <w:t>FR: ZH_OBERGERICHT UE180263 du 10 décembre 2018</w:t>
      </w:r>
    </w:p>
    <w:p>
      <w:r>
        <w:t>IT: ZH_OBERGERICHT UE180263 del 10 dicembre 2018</w:t>
      </w:r>
    </w:p>
    <w:p>
      <w:pPr>
        <w:pStyle w:val="Heading2"/>
      </w:pPr>
      <w:r>
        <w:t>Erwägungen</w:t>
      </w:r>
    </w:p>
    <w:p>
      <w:r>
        <w:rPr>
          <w:b/>
        </w:rPr>
        <w:t>E. 1</w:t>
      </w:r>
    </w:p>
    <w:p>
      <w:r>
        <w:t>Am 12. März 2018 erstattete A._____ (nachfolgend: Beschwerdeführerin) bei der Staatsanwaltschaft Limmattal/Albis (nachfolgend: Staatsanwaltschaft) Strafanzeige gegen B._____ (nachfolgend: Beschwerdegegnerin 1) wegen Per- sönlichkeitsverletzung, eventuell Nötigung (Urk. 10/3). Zusammengefasst wurde der Beschwerdegegnerin vorgeworfen, dem Ehemann der Beschwerdeführerin am 29. Dezember 2017 eine SMS-Nachricht geschrieben und darin behauptet zu haben, dass es in den letzten zwei Jahren zu sexuellen Kontakten zwischen C._____ und der Beschwerdeführerin gekommen sei. Sodann soll die Beschwer- degegnerin 1 der Beschwerdeführerin zu einem nicht näher bekannten Zeitpunkt im Dezember 2016 per SMS-Nachricht Folgendes geschrieben haben: "if you mess with my family, I will end you" sowie "if you start to fuck around with my fa- mily, I will cut you".</w:t>
      </w:r>
    </w:p>
    <w:p>
      <w:r>
        <w:rPr>
          <w:b/>
        </w:rPr>
        <w:t>E. 2</w:t>
      </w:r>
    </w:p>
    <w:p>
      <w:r>
        <w:t>Am 12. September 2018 erliess die Staatsanwaltschaft eine Nichtanhand- nahmeverfügung (Urk. 3 = Urk. 10/12). Hiergegen erhebt die Beschwerdeführerin innert Frist Beschwerde bei der hiesigen Kammer mit dem Antrag, es seien die Nichtanhandnahmeverfügung aufzuheben und ein Strafverfahren gegen die Be- schwerdegegnerin 1 wegen Nötigung zu eröffnen (Urk. 2 S. 2). In Bezug auf das beanzeigte Ehrverletzungsdelikt blieb die Nichtanhandnahmeverfügung unange- fochten (vgl. Urk. 2 S. 4).</w:t>
      </w:r>
    </w:p>
    <w:p>
      <w:r>
        <w:rPr>
          <w:b/>
        </w:rPr>
        <w:t>E. 3</w:t>
      </w:r>
    </w:p>
    <w:p>
      <w:r>
        <w:t>Die fraglichen Äusserungen beziehen sich auf die "Familie" ("family") der Beschwerdegegnerin, ohne jedoch bestimmte Namen zu nennen. Aus den Akten geht hervor, dass C._____ und die Beschwerdegegnerin eine gemeinsame Toch- ter haben und mittlerweile voneinander getrennt leben (Urk. 10/6 S. 1 sowie Urk. 10/7 S. 1). Allfällige weitere Familienmitglieder der Beschwerdegegnerin, auf welche sich die fraglichen Äusserungen beziehen könnten, finden in den Akten keine Erwähnung. Abgesehen von einem Geburtstagsfest, bei welchem es zu ei- nem (friedlich verlaufenen) Aufeinandertreffen der Beschwerdeführerin sowie der Tochter der Beschwerdegegnerin gekommen sei, geht aus den Akten nicht her- vor, dass es zwischen diesen beiden Personen zu weiteren Kontakten gekommen wäre. Anders verhält sich dies – zumindest den Aussagen der Beschwerdeführe- rin zufolge – in Bezug auf C._____, mit welchem sie bereits seit vielen Jahren be- freundet sei und welchen sie ab und zu auf einen Drink getroffen habe (Urk. 10/7 S. 2 und S. 5 f.).</w:t>
      </w:r>
    </w:p>
    <w:p>
      <w:r>
        <w:rPr>
          <w:b/>
        </w:rPr>
        <w:t>E. 4</w:t>
      </w:r>
    </w:p>
    <w:p>
      <w:r>
        <w:t>Gegenüber der Polizei machte die Beschwerdeführerin geltend, die Be- schwerdegegnerin habe mit ihren Äusserungen erreichen wollen, dass sie ihre Freundschaft mit C._____ beende (Urk. 10/7 S. 5). Einem im Recht liegenden Screenshot ist allerdings zu entnehmen, dass die Beschwerdegegnerin in der be- treffenden SMS-Nachricht vom Dezember 2016 nicht nur die fraglichen Äusse- rungen gemacht, sondern der Beschwerdeführerin überdies geschrieben haben soll: "Hook up with C._____ as long as you want, I sincerely don't care. you do you, we have moved on" (Urk. 10/4/4 S. 1). Der Beschwerdeführerin zufolge lässt sich dies etwa mit "Triff dich mit C._____ so lang du willst, es ist mir egal. Tu es nur, wir sind schon darüber hinweg" übersetzen (Urk. 10/4/4 S. 3). Daraus erhellt, dass die Äusserungen vom Dezember 2016 auch nach Ansicht der Beschwerde- führerin zumindest nicht darauf gerichtet waren, persönliche Kontakte zwischen ihr und C._____ zu unterbinden. Worauf die Äusserungen aber sonst abgezielt haben bzw. dass sich die Beschwerdeführerin nach dem Willen der Beschwerde- gegnerin ganz konkret auf eine bestimmte Art und Weise hätte verhalten sollen, geht aus der fraglichen SMS-Nachricht nicht hervor. Diese bringt zwar in allge- meiner Form zum Ausdruck, dass die Absenderin von der Adressatin in Ruhe ge- lassen werden will, die Formulierung bleibt dabei jedoch viel zu unbestimmt, als</w:t>
      </w:r>
    </w:p>
    <w:p>
      <w:r>
        <w:t>- 5 - dass daraus geschlossen werden könnte, dass die Beschwerdegegnerin die Be- schwerdeführerin dadurch zu einem konkreten Tun, Dulden oder Unterlassen animieren wollte. Es fehlt mit anderen Worten an einer auf einen besonderen Zweck gerichteten Nötigungshandlung. Die fragliche SMS-Nachricht erfüllt den objektiven Tatbestand der Nötigung im Sinne von Art. 181 StGB daher nicht. Da die Strafantragsfrist - wie die Beschwerdeführerin bereits in der Anzeige ausführt (Urk. 10/3 S. 3) - im Zeitpunkt der Anzeigeerstattung bereits verstrichen war (vgl. Art. 31 Abs. 1 StGB), erübrigt sich ausserdem eine Auseinandersetzung mit der Frage, ob sie unter den als Antragsdelikt ausgestalteten Tatbestand der Drohung (Art. 180 Abs. 1 StGB) fällt.</w:t>
      </w:r>
    </w:p>
    <w:p>
      <w:r>
        <w:rPr>
          <w:b/>
        </w:rPr>
        <w:t>E. 5</w:t>
      </w:r>
    </w:p>
    <w:p>
      <w:r>
        <w:t>Zusammenfassend ist festzuhalten, dass die Staatsanwaltschaft das Straf- verfahren gegen die Beschwerdegegnerin zu Recht nicht an die Hand genommen hat. Dies führt zur Abweisung der Beschwerde. III. 1. Ausgangsgemäss sind die Kosten des Beschwerdeverfahrens der Be- schwerdeführerin aufzuerlegen (Art. 428 Abs. 1 StPO). Die Gerichtsgebühr ist un- ter Berücksichtigung von Bedeutung, Aufwand und Schwierigkeit des Falles auf CHF 900.– festzusetzen (§ 17 Abs. 1 i.V.m. § 2 Abs. 1 lit. b–d GebV OG). 2. Die unterliegende Beschwerdeführerin ist für ihre Aufwendungen im Be- schwerdeverfahren nicht zu entschädigen (vgl. Art. 436 Abs. 1 i.V.m. Art. 436 Abs. 3 StPO analog). Mangels Umtrieben ist auch der Beschwerdegegnerin keine Entschädigung zuzusprechen (Art. 436 Abs. 1 i.V.m. Art. 430 Abs. 1 lit. c StPO). 3. Die Beschwerdeführerin hat für das Beschwerdeverfahren eine Sicherheits- leistung für allfällige Kosten und Entschädigungen in der Höhe von CHF 2'000.– erbracht (Urk. 7). Die ihr auferlegten Kosten sind aus der Sicherheitsleistung zu beziehen. Im Restbetrag ist ihr die Sicherheitsleistung zurückzuerstatten – unter Vorbehalt allfälliger Verrechnungsansprüche des Staates.</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