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UE160324 vom 15. März 2017</w:t>
      </w:r>
    </w:p>
    <w:p>
      <w:r>
        <w:t>ZH Obergericht, 2017-03-15, DE</w:t>
      </w:r>
    </w:p>
    <w:p>
      <w:r>
        <w:rPr>
          <w:b/>
        </w:rPr>
        <w:t xml:space="preserve">Quelle: </w:t>
      </w:r>
      <w:r>
        <w:t>https://mcp.opencaselaw.ch/entscheid/zh_obergericht_UE160324</w:t>
      </w:r>
    </w:p>
    <w:p>
      <w:r>
        <w:t>FR: ZH_OBERGERICHT UE160324 du 15 mars 2017</w:t>
      </w:r>
    </w:p>
    <w:p>
      <w:r>
        <w:t>IT: ZH_OBERGERICHT UE160324 del 15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17. Juni 2016 reichte Rechtsanwalt lic. iur. X._____ na- mens der A._____ (nachfolgend: Beschwerdeführerin) Strafanzeige gegen B._____ (nachfolgend: Beschwerdegegner) wegen falschen Zeugnisses i.S.v. Art. 307 i.V.m. Art. 309 lit. a StGB ein. Konkret wurde dem Beschwerdegegner in der Strafanzeige vorgeworfen, anlässlich einer in den Räumlichkeiten der Anwalts- kanzlei C._____ in Zürich am 28. Januar 2016 durchgeführten Einvernahme in ei- nem zivilrechtlichen Schiedsverfahren zwischen der Beschwerdeführerin (Kläge- rin) sowie dem Beschwerdegegner und D._____ (Beklagte) bewusst ein falsches Zeugnis abgelegt zu haben. Er habe nämlich wahrheitswidrig behauptet, der Fir- menstempel der Firma D._____ habe sich nicht auf dem Protokoll vom 3. Novem- ber 2013 befunden, als er dieses unterzeichnet habe. Diese Falschaussage sei für den Ausgang des Schiedsverfahrens von entscheidender Bedeutung gewe- sen, habe das Schiedsgericht doch darüber zu entscheiden gehabt, ob die Firma D._____ an das Protokoll (und den Hauptvertrag) gebunden sei oder nicht, und habe sich das Schiedsgericht in seinem Entscheid u.a. auf diese Falschaussage gestützt (Urk. 18/1-2; Urk. 18/4).</w:t>
      </w:r>
    </w:p>
    <w:p>
      <w:r>
        <w:rPr>
          <w:b/>
        </w:rPr>
        <w:t>E. 1.1</w:t>
      </w:r>
    </w:p>
    <w:p>
      <w:r>
        <w:t>Bei diesem Verfahrensausgang sind die Kosten des Beschwerdeverfah- rens der Beschwerdeführerin aufzuerlegen (Art. 428 Abs. 1 StPO). In Anwendung von § 17 Abs. 1 und § 2 Abs. 1 der Gebührenverordnung des Obergerichts (GebV OG) ist die Gerichtsgebühr auf Fr. 1'000.– festzusetzen.</w:t>
      </w:r>
    </w:p>
    <w:p>
      <w:r>
        <w:rPr>
          <w:b/>
        </w:rPr>
        <w:t>E. 1.2</w:t>
      </w:r>
    </w:p>
    <w:p>
      <w:r>
        <w:t>Mangels wesentlicher Umtriebe im Beschwerdeverfahren ist dem Be- schwerdegegner keine Entschädigung zuzusprechen.</w:t>
      </w:r>
    </w:p>
    <w:p>
      <w:r>
        <w:rPr>
          <w:b/>
        </w:rPr>
        <w:t>E. 1.3</w:t>
      </w:r>
    </w:p>
    <w:p>
      <w:r>
        <w:t>Die Beschwerdeführerin hat für das Beschwerdeverfahren eine Sicher- heitsleistung von Fr. 5'000.– geleistet (Urk. 15-16). Diese ist im Umfang von Fr. 1'000.– zur Deckung der Gerichtskosten zu verwenden und im Mehrbetrag (Fr. 4'000.–) der Beschwerdeführerin zurückzuerstatten. 2. Dem Beschwerdegegner wurde die angefochtene Nichtanhandnahmever- fügung ad acta zugestellt (Urk. 5 Dispositiv-Ziff. 4). Er hat soweit ersichtlich keine Kenntnis vom vorliegenden Verfahren. Da er dadurch und durch dessen Ausgang</w:t>
      </w:r>
    </w:p>
    <w:p>
      <w:r>
        <w:t>- 7 - auch in keiner Weise belastet wird, rechtfertigt es sich, ihm auch den vorliegen- den Entscheid nur zu den Akten zuzustellen. Es wird beschlossen:</w:t>
      </w:r>
    </w:p>
    <w:p>
      <w:r>
        <w:rPr>
          <w:b/>
        </w:rPr>
        <w:t>E. 2</w:t>
      </w:r>
    </w:p>
    <w:p>
      <w:r>
        <w:t>Mit Verfügung vom 17. November 2016 nahm die Staatsanwaltschaft Zü- rich-Sihl (nachfolgend: Staatsanwaltschaft) das von ihr übernommene Verfahren (vgl. 18/15) nicht an Hand, da aufgrund der eingereichten Strafanzeige kein An- fangsverdacht auf eine strafbare Handlung gegenüber dem Beschwerdegegner bestehe. Die Verfahrenskosten wurden auf die Staatskasse genommen. Dem Be- schwerdegegner wurde weder eine Entschädigung noch eine Genugtuung ausge- richtet (Urk. 3/2 = Urk. 5 = Urk. 18/17).</w:t>
      </w:r>
    </w:p>
    <w:p>
      <w:r>
        <w:rPr>
          <w:b/>
        </w:rPr>
        <w:t>E. 2.1</w:t>
      </w:r>
    </w:p>
    <w:p>
      <w:r>
        <w:t>Gemäss Art. 382 Abs. 1 StPO kann jede Partei, die ein rechtlich ge- schütztes Interesse an der Aufhebung oder Änderung eines Entscheides hat, ein Rechtsmittel ergreifen. Als Partei gilt unter anderem die Privatklägerschaft (Art. 104 Abs. 1 lit. b StPO). Unter den Begriff der Privatklägerschaft fällt die geschä- digte Person, die ausdrücklich erklärt, sich am Strafverfahren als Straf- oder Zivil- klägerin zu beteiligen (Art. 118 Abs. 1 StPO). Volle Parteirechte sind der geschä- digten Person allerdings auch dann einzuräumen, wenn sie – wie etwa im Falle einer Nichtanhandnahme – noch keine Gelegenheit hatte, sich als Privatkläger- schaft zu konstituieren (Botschaft zur Vereinheitlichung des Strafprozessrechts</w:t>
      </w:r>
    </w:p>
    <w:p>
      <w:r>
        <w:t>- 4 - vom 21. Dezember 2005, BBl 2006 S. 1085 ff., S. 1308 FN 427; ZR 110 [2011] Nr. 76 S. 240 m.w.H.; Lieber, in: Kommentar zur Schweizerischen Strafprozess- ordnung [StPO], hrsg. von Donatsch/Hansjakob/Lieber, 2. Aufl., Zürich 2014, Art. 382 N 15 m.w.H.). Vorausgesetzt ist aber stets die Geschädigtenstellung. Ge- schädigt ist, wer durch die Straftat in seinen Rechten unmittelbar verletzt worden ist (Art. 115 Abs. 1 StPO). Unmittelbar verletzt und somit Geschädigter im Sinne des Strafprozessrechts ist nach ständiger Rechtsprechung des Bundesgerichts, wer Träger des durch die verletzte Strafnorm geschützten oder zumindest mitge- schützten Rechtsgutes ist (BGE 140 IV 157; BGE 138 IV 263 m.w.H.; BGer vom</w:t>
      </w:r>
    </w:p>
    <w:p>
      <w:r>
        <w:rPr>
          <w:b/>
        </w:rPr>
        <w:t>E. 2.2</w:t>
      </w:r>
    </w:p>
    <w:p>
      <w:r>
        <w:t>Die Beschwerde ist zu begründen (vgl. Art. 396 Abs. 1 i.V.m. Art. 385 Abs. 1 StPO). Zu den Substanzierungsobliegenheiten der beschwerdeführenden Person gehört – jedenfalls soweit diese juristisch versiert oder anwaltlich verbei- ständet ist – grundsätzlich auch das sinngemässe Darlegen der Beschwerdelegi- timation, sofern diese nicht offensichtlich ist (vgl. BGer vom 17. November 2016 [1B_339/2016], E. 2.1. m.w.H.; BGer vom 22. Oktober 2015 [1B_242/2015], E. 4.2. m.w.H.; ZR 113 [2014] Nr. 12, E. 1.3). Ein Anspruch auf eine Nachfristan- setzung i.S.v. Art. 385 Abs. 2 StPO besteht nur bei unfreiwilligen Unterlassungen. Von fachkundigen Personen, insbesondere Rechtsanwälten, kann erwartet wer- den, dass sie Rechtsmittel formgerecht einreichen. Tun sie dies nicht, kann ange- nommen werden, dass entsprechende Mängel bewusst in Kauf genommen wur- den, weshalb nach Treu und Glauben nicht mit einer Nachfrist gerechnet werden kann. Fachkundigen Personen gegenüber kommt eine Nachfristansetzung regel- mässig nur bei Versehen oder unverschuldetem Hindernis in Frage (BGE 142 IV 305 f. m.w.H.; Ziegler/Keller, in: Basler Kommentar Schweizerische Strafprozess- ordnung, 2. Aufl., Basel 2014, Art. 385 N 3), wofür mindestens Anhaltspunkte be-</w:t>
      </w:r>
    </w:p>
    <w:p>
      <w:r>
        <w:t>- 5 - stehen müssen (vgl. Beschluss der hiesigen Strafkammer vom 20. Januar 2016 [UE150359], E. II.3.2. in fine).</w:t>
      </w:r>
    </w:p>
    <w:p>
      <w:r>
        <w:rPr>
          <w:b/>
        </w:rPr>
        <w:t>E. 2.3</w:t>
      </w:r>
    </w:p>
    <w:p>
      <w:r>
        <w:t>Der Tatbestand der falschen Beweisaussage i.S.v. Art. 306 Abs. 1 StGB, welcher gemäss Art. 309 lit. a StGB u.a. auch Anwendung auf Schiedsge- richtsverfahren findet, schützt in erster Linie das Interesse des Staates, anlässlich der Beweisführung in einem (Zivil-)Prozess die Wahrheit zu erfahren. Indirekt schützt der Tatbestand aber auch die Interessen der Prozessparteien (Delnon/ Rüdy, in: Basler Kommentar StGB II, 3. Aufl., Basel 2013, Art. 306 N 5; Donatsch/ Wohlers, Strafrecht IV, 4. Aufl., Zürich 2011, S. 501; Flachsmann, in: OFK StGB, 19. Aufl., Zürich 2013, Art. 306 N 2; Trechsel/Affolter-Eijsten, in: StGB Praxis- kommentar, hrsg. von Trechsel/Pieth, 2. Aufl., Zürich/St. Gallen 2013, Art. 306 N 1). Die Prozessparteien sind mithin zur Ergreifung von Rechtsmitteln legitimiert, sofern das gerichtliche Verfahren durch die falsche Parteiaussage zu deren Un- gunsten beeinflusst wurde, mithin wenn diese für sie unmittelbar schädliche Fol- gen gehabt hat. Ansonsten gibt es keinen Kausalzusammenhang zwischen den angeblich falschen Parteiaussagen und dem schädlichen Urteil. Unter dem Ge- sichtspunkt der Kausalität kommt es nicht auf die Frage an, ob der Zivilrichter die strittigen Aussagen hätte berücksichtigen können oder müssen. Es stellt sich ein- zig die Frage, ob sich der Richter in entscheidender Weise auf die angeblich fal- schen Aussagen gestützt hat (vgl. BGer vom 24. Januar 2012 [1B_489/2011], E. 2.2.; vgl. betreffend falsche Zeugenaussagen analog BGE 123 IV 184 = Pra 87 [1998] Nr. 11 E. 1c und BGer vom 3. Juli 2012 [1B_220/2012], E. 1.2.; vgl. auch Beschluss der hiesigen Strafkammer vom 18. Februar 2011 [UR100164], E. II.6.1. ff.).</w:t>
      </w:r>
    </w:p>
    <w:p>
      <w:r>
        <w:rPr>
          <w:b/>
        </w:rPr>
        <w:t>E. 2.4</w:t>
      </w:r>
    </w:p>
    <w:p>
      <w:r>
        <w:t>Die Beschwerdeführerin hat sich in ihrer Beschwerdeschrift zu ihrer Be- schwerdelegitimation mit keinem Wort geäussert (Urk. 2). Nach dem Dargelegten ist diese allerdings keineswegs offensichtlich. Wie ausgeführt müssten sich die angeblichen Falschaussagen zu Ungunsten der Beschwerdeführerin auf das er- gangene Schiedsurteil ausgewirkt haben, damit diese vorliegend als Geschädigte i.S.v. Art. 115 Abs. 1 StPO gelten könnte und zur Beschwerde gegen die Nichtan- handnahme legitimiert wäre. Die Beschwerdeführerin behauptet zwar in materiel-</w:t>
      </w:r>
    </w:p>
    <w:p>
      <w:r>
        <w:t>- 6 - lem Zusammenhang, das betreffende Schiedsgericht habe sich in seinem Ent- scheid u.a. auf die angeblichen Falschaussagen gestützt, ohne indessen den be- treffenden Schiedsentscheid als Beweismittel anzurufen (Urk. 2 S. 4). Dieser be- findet sich denn auch weder bei den Untersuchungsakten (Urk. 18) noch wurde er in vorliegendem Beschwerdeverfahren eingereicht, obschon die Beschwerdefüh- rerin bereits von der Staatsanwaltschaft aufgefordert worden war, diesen zu den Akten zu reichen (vgl. Urk. 18/6). Unter den gegebenen Umständen ist eine un- mittelbare Schädigung der Beschwerdeführerin durch die angeblichen Falschaus- sagen weder dargetan noch ersichtlich. Ein blosser Anzeigeerstatter kann aber kein Rechtsmittel gegen eine staatsanwaltschaftliche Nichtanhandnahmeverfü- gung ergreifen (Art. 301 Abs. 3 StPO). Eine Nachfristansetzung zur Behebung des Begründungsmangels erübrigt sich bei der anwaltlich vertretenen Beschwer- deführerin. Anhaltspunkte für ein Versehen oder ein unverschuldetes Hindernis liegen jedenfalls nicht vor. Auf die Beschwerde ist somit nicht einzutreten. III.</w:t>
      </w:r>
    </w:p>
    <w:p>
      <w:r>
        <w:rPr>
          <w:b/>
        </w:rPr>
        <w:t>E. 3</w:t>
      </w:r>
    </w:p>
    <w:p>
      <w:r>
        <w:t>Unter Kosten- und Entschädigungsfolge."</w:t>
      </w:r>
    </w:p>
    <w:p>
      <w:r>
        <w:rPr>
          <w:b/>
        </w:rPr>
        <w:t>E. 4</w:t>
      </w:r>
    </w:p>
    <w:p>
      <w:r>
        <w:t>Mit Verfügung vom 15. Dezember 2016 wurde Rechtsanwalt lic. iur. X._____ Frist angesetzt, um die offizielle, aktuell gültige Firma und Anschrift der Beschwerdeführerin anzugeben und zu belegen sowie die Vertretungsberechti- gung von E._____ für die Beschwerdeführerin zu belegen. Gleichzeitig wurde der Beschwerdeführerin Frist zur Leistung einer Prozesskaution angesetzt (Urk. 8). Mit Eingabe vom 16. Januar 2017 ist Rechtsanwalt X._____ der an ihn ergange- nen Aufforderung nachgekommen (Urk. 11-12). Die Prozesskaution wurde so- dann innert Frist geleistet (vgl. Urk. 15-16). Am 16. Februar 2017 wurden die Un- tersuchungsakten (Urk. 18) beigezogen (Urk. 17). Auf einen Schriftenwechsel wurde in Anwendung von Art. 390 Abs. 2 StPO verzichtet. II. 1. Angefochten ist eine Nichtanhandnahmeverfügung der Staatsanwalt- schaft. Dagegen ist die Beschwerde beim Obergericht zulässig (Art. 310 Abs. 2 i.V.m. Art. 322 Abs. 2 und Art. 393 Abs. 1 lit. a StPO sowie § 49 GOG/ZH).</w:t>
      </w:r>
    </w:p>
    <w:p>
      <w:r>
        <w:rPr>
          <w:b/>
        </w:rPr>
        <w:t>E. 5</w:t>
      </w:r>
    </w:p>
    <w:p>
      <w:r>
        <w:t>Dezember 2014 [6B_1148/2013], E. 1.1.). Bei Strafnormen, die nicht primär In- dividualrechtsgüter schützen, gelten nur diejenigen Personen als Geschädigte, die durch die darin umschriebenen Tatbestände in ihren Rechten beeinträchtigt werden, sofern diese Beeinträchtigung unmittelbare Folge der tatbestandsmässi- gen Handlung ist (BGE 140 IV 157 f. m.w.H.; BGE 138 IV 263 m.w.H.; BGer vom 24. Januar 2012 [1B_489/2011], E. 2.1. in fine).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