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UE160259 vom 10. Januar 2017</w:t>
      </w:r>
    </w:p>
    <w:p>
      <w:r>
        <w:t>ZH Obergericht, 2017-01-10, DE</w:t>
      </w:r>
    </w:p>
    <w:p>
      <w:r>
        <w:rPr>
          <w:b/>
        </w:rPr>
        <w:t xml:space="preserve">Quelle: </w:t>
      </w:r>
      <w:r>
        <w:t>https://mcp.opencaselaw.ch/entscheid/zh_obergericht_UE160259</w:t>
      </w:r>
    </w:p>
    <w:p>
      <w:r>
        <w:t>FR: ZH_OBERGERICHT UE160259 du 10 janvier 2017</w:t>
      </w:r>
    </w:p>
    <w:p>
      <w:r>
        <w:t>IT: ZH_OBERGERICHT UE160259 del 10 gennaio 2017</w:t>
      </w:r>
    </w:p>
    <w:p>
      <w:pPr>
        <w:pStyle w:val="Heading2"/>
      </w:pPr>
      <w:r>
        <w:t>Erwägungen</w:t>
      </w:r>
    </w:p>
    <w:p>
      <w:r>
        <w:rPr>
          <w:b/>
        </w:rPr>
        <w:t>E. 1</w:t>
      </w:r>
    </w:p>
    <w:p>
      <w:r>
        <w:t>B._____ (hernach Beschwerdegegnerin 1) soll sich der Verleum- dung strafbar gemacht haben, indem sie der Hausverwaltung mitgeteilt habe, A._____ (hernach Beschwerdeführer) habe im Bereich des Hauses … [Adresse] Pflanzungen vorgenommen. Er habe auch mehrmals frühmorgens im Hausflur Lärm gemacht. Die Beschwerdegegnerin 1 habe sodann die Behörden durch fal- sche Anschuldigungen, welche sie gegenüber dem Beschwerdeführer erhoben habe, irregeführt. So habe sie auf dem Polizeiposten … [Ortschaft] vorgebracht, er stelle ihr an ihrem Waschtag im Keller nach und ängstige sie (Urk. 21/2/1).</w:t>
      </w:r>
    </w:p>
    <w:p>
      <w:r>
        <w:rPr>
          <w:b/>
        </w:rPr>
        <w:t>E. 2</w:t>
      </w:r>
    </w:p>
    <w:p>
      <w:r>
        <w:t>Am 28. August 2016 reichte der Beschwerdeführer gegen die Be- schwerdegegnerin 1 bei der Staatsanwaltschaft See/Oberland (hernach Staats- anwaltschaft) Strafanzeige ein wegen „Verleumdung“ und „Irreführung der Kan- tonspolizei“ (Urk. 21/1). Die Staatsanwaltschaft erliess in dieser Sache am 20. September 2016 eine Nichtanhandnahmeverfügung (Urk. 3/5 = Urk. 5 = Urk. 21/9).</w:t>
      </w:r>
    </w:p>
    <w:p>
      <w:r>
        <w:rPr>
          <w:b/>
        </w:rPr>
        <w:t>E. 3</w:t>
      </w:r>
    </w:p>
    <w:p>
      <w:r>
        <w:t>Dagegen erhob der Beschwerdeführer bei der hiesigen Kammer mit Eingabe vom 28. September 2016 Beschwerde und beantragte sinngemäss, die Nichtanhandnahmeverfügung sei aufzuheben und es sei ein Strafverfahren gegen die Beschwerdegegnerin 1 zu eröffnen (Urk. 2). Innert Frist leistete der Be- schwerdeführer eine Prozesskaution in Höhe von Fr. 1‘500.– (Urk. 6; Urk. 18).</w:t>
      </w:r>
    </w:p>
    <w:p>
      <w:r>
        <w:rPr>
          <w:b/>
        </w:rPr>
        <w:t>E. 4</w:t>
      </w:r>
    </w:p>
    <w:p>
      <w:r>
        <w:t>Geschützt i.S.v. Art. 173 ff. StGB ist der Ruf und das Gefühl des Be- troffenen, ein ehrbarer Mensch zu sein, d.h. sich so zu benehmen, wie nach all- gemeinen Anschauungen ein charakterlich anständiger Mensch sich zu verhalten pflegt. Äusserungen, die sich lediglich eignen, jemanden in anderer Hinsicht – et- wa in Bezug auf seinen Geisteszustand – in der gesellschaftlichen Geltung bzw. sozialen Funktion herabzusetzen oder in ihrem Selbstbewusstsein zu verletzen, gelten nicht als ehrverletzend. Massgebend für die Auslegung der ehrverletzen- den Äusserung ist der Sinn, den ein unbefangener Adressat einer Aussage nach den Umständen beilegen muss (vgl. dazu Donatsch, Strafrecht III, 10. Aufl., Zürich 2013, S. 372 ff. m.H.).</w:t>
      </w:r>
    </w:p>
    <w:p>
      <w:r>
        <w:rPr>
          <w:b/>
        </w:rPr>
        <w:t>E. 5</w:t>
      </w:r>
    </w:p>
    <w:p>
      <w:r>
        <w:t>Die Kantonspolizei Zürich, Regionalabteilung See/Oberland hielt am 15. September 2016 fest, die Beschwerdegegnerin 1 sei am 8. August 2016 auf dem Polizeiposten erschienen. Sie habe sich über ihren Nachbarn, den Be- schwerdeführer, beschwert. Sie höre früh morgens Lärm aus dessen Wohnung. Die Verwaltung habe den Beschwerdeführer darauf angesprochen. Jetzt erhalte</w:t>
      </w:r>
    </w:p>
    <w:p>
      <w:r>
        <w:t>- 5 - sie von ihm Schreiben, sie sei eine Lügnerin und sie müsse seine Aussagen be- richtigten. Sie habe auch vorgebracht, sie habe Angst vor dem Beschwerdefüh- rer, da jener ihr nachstelle. So sei es schon einige Male vorgekommen, dass wenn sie in den Keller bzw. in die Waschküche gegangen sei, er auch gleich aus seiner Wohnung gekommen und hinter ihr in den Keller nachgegangen sei. Die Beschwerdegegnerin 1 habe keine Anzeige gegen den Beschwerdeführer er- stattet; vielmehr habe sie bei der Polizei Rat gesucht (Urk. 21/8).</w:t>
      </w:r>
    </w:p>
    <w:p>
      <w:r>
        <w:rPr>
          <w:b/>
        </w:rPr>
        <w:t>E. 6</w:t>
      </w:r>
    </w:p>
    <w:p>
      <w:r>
        <w:t>Wie bereits in der Nichtanhandnahmeverfügung dargelegt, hat der Beschwerdeführer keine Äusserungen bzw. Handlungen der Beschwerdegegne- rin 1 zur Anzeige gebracht, welche unter eine der umschriebenen Bestimmungen des Schweizerischen Strafgesetzbuches zu subsumieren wären. Inwiefern die Beschwerdegegnerin 1 den Tatbestand der falschen An- schuldigung nach Art. 303 StGB erfüllt haben soll, lässt sich aufgrund des vorlie- genden Aktenmaterials und dem Vorbringen in der Beschwerdeschrift nicht ein- mal ansatzweise erahnen. Jedenfalls ist nicht erkennbar, welche Straftaten die Beschwerdegegnerin 1 den Beschwerdeführer mit ihrem Vorsprechen bei der Polizei (vgl. dazu obige Wiedergabe) konkret wider besseres Wissen beschuldigt haben soll, zumal sie ausdrücklich keine Anzeige gegen den Beschwerdeführer erstattet hat. Sodann erfüllt der seitens des Beschwerdeführers geltend gemachte Umstand, die Beschwerdegegnerin 1 habe sich mit ihren Beschreibungen an die Hausverwaltung gewendet, den Tatbestand nach Art. 173 ff. StGB nicht. Auch sind die Äusserungen der Beschwerdegegnerin 1 an sich nicht ehrverletzend im Sinne des Schweizerischen Strafgesetzbuches. Die zitierten Äusserungen der Beschwerdegegnerin 1 betreffen das Verhalten des Beschwerdeführers als Mieter in der Nutzung des Mietobjekts und zeigen dieses aus ihrer Sicht auf. Ob er dabei tatsächlich seine vertraglichen Rechte überschritt oder Pflichten missachtete, kann hier offen bleiben. Eine Herabsetzung der Person des Beschwerdeführers und damit den Tatbestand der Ehrverletzung vermögen die dargelegten Bean- standungen der Beschwerdegegnerin 1 nicht zu belegen. Es kann somit in straf- rechtlicher Hinsicht auch offen bleiben, ob sie inhaltlich der Wahrheit entsprechen.</w:t>
      </w:r>
    </w:p>
    <w:p>
      <w:r>
        <w:t>- 6 - Im Ganzen erscheinen die geäusserten Angaben weder unnötig verlet- zend noch offensichtlich unverhältnismässig. Dass die Äusserungen den gebote- nen Sachbezug übersteigen, ist weder aufgrund des vorliegenden Aktenmaterials noch aufgrund der Vorbringen in der Beschwerdeschrift erkennbar. Die dargeleg- ten Berichterstattungen entsprechen vielmehr einer alltäglichen Mängelrüge eines Mieters gegenüber dem Vermieter und vermögen damit die Geltung des Be- schwerdeführers als ehrbarer Mensch nicht zu berühren. Die Vorsprache der Be- schwerdegegnerin 1 bei der Polizei führte offenbar nicht einmal dazu, dass die Einleitung eines Strafverfahrens gegen diesen auch nur in Betracht gezogen wur- de. 7.1 Insgesamt ist weder aus der Anzeige noch aus dem vorliegenden Aktenmaterial herleitbar, inwiefern der Beschwerdegegnerin ein strafrechtlich re- levantes Verhalten i.S.v. Art. 173, 174 oder 303 StGB anzulasten wäre, so dass ein hinreichender Anfangsverdacht zu verneinen ist. Weitere Untersuchungshand- lungen, welche an dieser Einschätzung etwas zu ändern vermögen, sind in der Beschwerdeschrift nicht genannt und auch aufgrund der Akten nicht erkennbar. 7.2 Die Vorbringen des Beschwerdeführers lassen eine Strafverfolgung der Beschwerdegegnerin 1 insgesamt nicht zu. Die Nichtanhandnahmeverfügung der Staatsanwaltschaft ist daher nicht zu beanstanden. Die Staatsanwaltschaft nahm zu Recht keine Untersuchung an die Hand, so dass die Beschwerde abzu- 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