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UE160194 vom 18. Oktober 2016</w:t>
      </w:r>
    </w:p>
    <w:p>
      <w:r>
        <w:t>ZH Obergericht, 2016-10-18, DE</w:t>
      </w:r>
    </w:p>
    <w:p>
      <w:r>
        <w:rPr>
          <w:b/>
        </w:rPr>
        <w:t xml:space="preserve">Quelle: </w:t>
      </w:r>
      <w:r>
        <w:t>https://mcp.opencaselaw.ch/entscheid/zh_obergericht_UE160194</w:t>
      </w:r>
    </w:p>
    <w:p>
      <w:r>
        <w:t>FR: ZH_OBERGERICHT UE160194 du 18 octobre 2016</w:t>
      </w:r>
    </w:p>
    <w:p>
      <w:r>
        <w:t>IT: ZH_OBERGERICHT UE160194 del 18 ottobre 2016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Abschliessend bleibt festzuhalten, dass sich die Beschwerde als unberechtigt er- weist, weshalb sie abzuweisen ist.</w:t>
      </w:r>
    </w:p>
    <w:p>
      <w:r>
        <w:rPr>
          <w:b/>
        </w:rPr>
        <w:t>E. 5</w:t>
      </w:r>
    </w:p>
    <w:p>
      <w:r>
        <w:t>Ausgangsgemäss sind die Kosten des Beschwerdeverfahrens dem Beschwerde- führer aufzuerlegen (Art. 428 Abs. 1 StPO). Die Gerichtsgebühr ist in Berücksichti- gung von Bedeutung, Aufwand und Schwierigkeit des Falles auf Fr. 600.-- festzu- setzen (§ 17 Abs. 1 GebV OG i.V.m. § 2 Abs. 1 lit. b-d GebV OG). Sie ist aus der vom Beschwerdeführer geleisteten Kaution zu beziehen. Im Restbetrag ist ihm die Kaution, vorbehältlich allfälliger Verrechnungsansprüche des Staates, zurückzu- erstatten. Der Beschwerdeführer hat zufolge Unterliegens keinen Anspruch auf eine Prozess- entschädigung. Die obsiegende Beschwerdegegnerin 1 hat keine Prozessentschä- digung beantragt; abgesehen davon ist von geringfügigen Aufwendungen im Be- schwerdeverfahren auszugehen, weshalb ein Anspruch auf Entschädigung ohnehin entfällt.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