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UE160141 vom 24. Januar 2017</w:t>
      </w:r>
    </w:p>
    <w:p>
      <w:r>
        <w:t>ZH Obergericht, 2017-01-24, DE</w:t>
      </w:r>
    </w:p>
    <w:p>
      <w:r>
        <w:rPr>
          <w:b/>
        </w:rPr>
        <w:t xml:space="preserve">Quelle: </w:t>
      </w:r>
      <w:r>
        <w:t>https://mcp.opencaselaw.ch/entscheid/zh_obergericht_UE160141</w:t>
      </w:r>
    </w:p>
    <w:p>
      <w:r>
        <w:t>FR: ZH_OBERGERICHT UE160141 du 24 janvier 2017</w:t>
      </w:r>
    </w:p>
    <w:p>
      <w:r>
        <w:t>IT: ZH_OBERGERICHT UE160141 del 24 gennaio 2017</w:t>
      </w:r>
    </w:p>
    <w:p>
      <w:pPr>
        <w:pStyle w:val="Heading2"/>
      </w:pPr>
      <w:r>
        <w:t>Erwägungen</w:t>
      </w:r>
    </w:p>
    <w:p>
      <w:r>
        <w:rPr>
          <w:b/>
        </w:rPr>
        <w:t>E. 1</w:t>
      </w:r>
    </w:p>
    <w:p>
      <w:r>
        <w:t>A._____ ist Eigentümer zweier Liegenschaften an der C._____-Strasse 1 und 2 in D._____ [Ortschaft]. An der C._____-Strasse 2 betreibt er als Einzelkaufmann das "Hotel E._____". Zum Herbergsbetrieb gehören auch Zimmer in den oberen Stockwerken des Gebäudes an der C._____-Strasse 1. Das Erdgeschoss dieser Liegenschaft ist seit Juni 2010 an die von B._____ beherrschte F._____ AG zum Gebrauch als Restaurant/Bar vermietet (Urk. 13/6). Die F._____ AG betreibt dort seither die "G._____ Bar". Die Mietparteien liegen seit längerem im Streit und es kam deswegen zu mehreren zivilrechtlichen Verfahren. Namentlich ist derzeit vor dem Mietgericht Uster eine am 9. Februar 2015 von der F._____ AG eingereichte Klage hängig, die zahlreiche behauptete Mängel am Mietobjekt zum Gegenstand hat (Urk. 3/4 und Prot. S. 7). Während A._____ vom 15. Juni bis zum 24. Juli 2015 auslandsabwesend war, liess B._____ ohne vorgängige ausdrückliche Einwilligung des Vermieters die fol- genden Modifikationen an der Fassade der gemieteten Lokalität vornehmen (vgl. die soweit übereinstimmende Darstellung der Beteiligten in Urk. 13/1, 13/3 und 13/4): − Die bis zu diesem Zeitpunkt rosa, teilweise gelbe Fassade wurde bis zur Höhe des ersten Stocks weiss gestrichen. − Der vorhandene Briefkasten wurde entfernt und durch einen in die Fassade eingelassenen ersetzt. − Die beleuchtete Aussenanschrift "Hotel Restaurant E._____" sowie ei- nes von zwei Leuchtsigneten des Hotels wurden entfernt. − Zwei Aussenmodule einer Klimaanlage wurden angebracht.</w:t>
      </w:r>
    </w:p>
    <w:p>
      <w:r>
        <w:rPr>
          <w:b/>
        </w:rPr>
        <w:t>E. 2</w:t>
      </w:r>
    </w:p>
    <w:p>
      <w:r>
        <w:t>A._____ sieht durch diese Arbeiten den Tatbestand der Sachbeschädigung im Sinne von Art. 144 StGB erfüllt und liess deswegen am 24. September 2015</w:t>
      </w:r>
    </w:p>
    <w:p>
      <w:r>
        <w:t>- 3 - durch seinen Rechtsvertreter bei der Staatsanwaltschaft See / Oberland Strafan- zeige gegen B._____ erstatten und entsprechend Strafantrag stellen (Urk. 13/1). Die Staatsanwaltschaft ersuchte die Kantonspolizei Zürich um ergänzende Ermitt- lungen im Sinne von Art. 309 Abs. 2 StPO (Urk. 13/7), worauf am 11. März 2016 A._____ (Urk. 13/4) und am 21. März 2016 B._____ (Urk. 13/3) befragt wurden. Am 28. März 2016 rapportierte die Kantonspolizei der Staatsanwaltschaft (Urk. 13/1), welche eine Untersuchung mit Verfügung vom 26. April 2016 (dem Vertreter von A._____ am 11. Mai 2016 zugestellt, Urk. 13/12) nicht an die Hand nahm (Urk. 13/10 = 3/3 = 5).</w:t>
      </w:r>
    </w:p>
    <w:p>
      <w:r>
        <w:rPr>
          <w:b/>
        </w:rPr>
        <w:t>E. 2.2</w:t>
      </w:r>
    </w:p>
    <w:p>
      <w:r>
        <w:t>Das Gesagte gilt sodann auch hinsichtlich der übrigen in der Strafanzeige beanstandeten Arbeiten. War im Zeitpunkt Vermietung vorgesehen, dass das Restaurant später an die Mieterin verkauft, jedenfalls ihr aber ein Kaufrecht, also eine einseitig ausübbare Option, eingeräumt würde, besteht wie dargelegt kein Anlass, an der Darstellung des Beschwerdegegners 1 (Urk. 13/3 S. 6) zu zweifeln, es sei die Meinung gewe- sen, dass Art. 36 des Mietvertrags ihn auch im Aussenbereich des Gebäudes zu Modifikationen berechtige. Damit kann auch in Bezug auf den in die Fassade ein- gelassenen Briefkasten keine rechtswidrige Sachbeschädigung, jedenfalls keine vorsätzliche, gesehen werden. Was die beleuchtete Aussenanschrift angeht, ist überdies auf Art. 9.2 des Miet- vertrags zu verweisen. Nach dieser Bestimmung hat die Mieterin in jedem Fall das Recht, ein Wirtshausschild sowie je eine beleuchtete und unbeleuchtete Aus- senanschrift anzubringen. Dies darf ihr der Vermieter nicht verweigern. Wenn</w:t>
      </w:r>
    </w:p>
    <w:p>
      <w:r>
        <w:t>- 8 - aber die Anschrift des Beschwerdeführers ("RESTAURANT E._____") die ganze Breite der der Strasse zugewandten Fassade in Anspruch nimmt (vgl. Urk. 13/5/1 S. 1) wird der F._____ AG die Möglichkeit genommen, das ihr vertraglich einge- räumte Recht auszuüben. Folglich durfte der Beschwerdeführer dem Beschwer- degegner 1 das Abmontieren der alten Anschrift nicht verweigern. Im Übrigen ist darauf hinzuweisen, dass es täuschend und somit unlauter ist, ein Hotel garni als "Hotel Restaurant" zu bewerben, und insoweit auch die Zusicherung des Be- schwerdeführers in Art. 31 des Mietvertrages tangiert ist, die Mieterin weder an der C._____-Strasse 1 noch an der C._____-Strasse 2 zu konkurrenzieren. Hinsichtlich der Klimageräte schliesslich fehlt es schon an einer tatbestandsmäs- sigen Beschädigung. Ein nennenswerter Substanzeingriff aufgrund der Montage ist nicht ersichtlich. Sodann wurden die Aussenmodule nicht an der von der öf- fentlichen Strasse aus sichtbaren Fassade angebracht, sondern diskret in einem nicht vom öffentlichen Grund aus einsehbaren Bereich (vgl. Urk. 13/5). Eine Be- einträchtigung der Ansehnlichkeit der Mietsache ist somit nicht erkennbar. Im Üb- rigen dürfte die Klimatisierung bei einem Bar- und Restaurationsbetrieb erforder- lich sein und damit zum vorausgesetzten, mithin zulässigen Gebrauch gehören.</w:t>
      </w:r>
    </w:p>
    <w:p>
      <w:r>
        <w:rPr>
          <w:b/>
        </w:rPr>
        <w:t>E. 2.3</w:t>
      </w:r>
    </w:p>
    <w:p>
      <w:r>
        <w:t>Demnach erweist sich die Strafanzeige in allen Punkten als klarerweise un- begründet. Die Staatsanwaltschaft nahm eine Untersuchung zu Recht nicht an die Hand.</w:t>
      </w:r>
    </w:p>
    <w:p>
      <w:r>
        <w:rPr>
          <w:b/>
        </w:rPr>
        <w:t>E. 2.4</w:t>
      </w:r>
    </w:p>
    <w:p>
      <w:r>
        <w:t>Damit ist auch der vom Beschwerdeführer erhobenen Rüge der Gehörsver- letzung (Urk. 2 Rz. 20-23) die Grundlage entzogen. Anders als vor der Einstellung einer eröffneten Untersuchung (Art. 318 StPO) ist die vorgängige Anhörung der Parteien nicht erforderlich, wenn eine Untersuchung gar nicht erst an die Hand genommen wird, weil klarerweise kein strafbares Verhalten vorliegt (BGer 6B_641/2013 vom 12. Dezember 2013 E. 3.2). Soweit der Beschwerdeführer auch in diesen Zusammenhang geltend machen will, die Staatsanwaltschaft hätte keine Nichtanhandnahme erlassen dürfen, sondern Untersuchungshandlungen vornehmen und die Untersuchung gegebenenfalls einstellen müssen, geht er von der materiellen Begründetheit der Beschwerde voraus. Diesem Vorbringen kommt somit keine selbständige Bedeutung zu. Nachdem wie dargelegt klarerweise kein</w:t>
      </w:r>
    </w:p>
    <w:p>
      <w:r>
        <w:t>- 9 - strafbares Verhalten vorliegt, erging die Nichtanhandnahme zu Recht und war auch die Gewährung des rechtlichen Gehörs nicht erforderlich. Eine unzulässige Verweigerung von Parteirechten liegt entgegen dem Beschwerdeführer nicht vor.</w:t>
      </w:r>
    </w:p>
    <w:p>
      <w:r>
        <w:rPr>
          <w:b/>
        </w:rPr>
        <w:t>E. 2.5</w:t>
      </w:r>
    </w:p>
    <w:p>
      <w:r>
        <w:t>Die Beschwerde ist nach dem Gesagten abzuweisen.</w:t>
      </w:r>
    </w:p>
    <w:p>
      <w:r>
        <w:rPr>
          <w:b/>
        </w:rPr>
        <w:t>E. 3</w:t>
      </w:r>
    </w:p>
    <w:p>
      <w:r>
        <w:t>Bei diesem Ausgang hat der Beschwerdeführer die Kosten des Verfahrens vor Obergericht zu tragen (Art. 428 Abs. 1 StPO). Die Gerichtsgebühr ist innerhalb des Gebührenrahmens gemäss § 17 Abs. 1 der Gebührenverordnung des Ober- gerichts (300 bis 12 000 Franken) und in Beachtung der Bemessungskriterien nach § 2 Abs. 1 lit. b bis d derselben (Bedeutung und Schwierigkeit des Falls und Zeitaufwand des Gerichts) auf 1500 Franken festzusetzen. Parteientschädigung sind keine zuzusprechen. Dem Beschwerdeführer weil er un- terliegt und dem Beschwerdegegner 1 mangels Beteiligung am Beschwerdever- fahren und erheblicher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