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UE160009 vom 22. Februar 2016</w:t>
      </w:r>
    </w:p>
    <w:p>
      <w:r>
        <w:t>ZH Obergericht, 2016-02-22, DE</w:t>
      </w:r>
    </w:p>
    <w:p>
      <w:r>
        <w:rPr>
          <w:b/>
        </w:rPr>
        <w:t xml:space="preserve">Quelle: </w:t>
      </w:r>
      <w:r>
        <w:t>https://mcp.opencaselaw.ch/entscheid/zh_obergericht_UE160009</w:t>
      </w:r>
    </w:p>
    <w:p>
      <w:r>
        <w:t>FR: ZH_OBERGERICHT UE160009 du 22 février 2016</w:t>
      </w:r>
    </w:p>
    <w:p>
      <w:r>
        <w:t>IT: ZH_OBERGERICHT UE160009 del 22 febbraio 2016</w:t>
      </w:r>
    </w:p>
    <w:p>
      <w:pPr>
        <w:pStyle w:val="Heading2"/>
      </w:pPr>
      <w:r>
        <w:t>Erwägungen</w:t>
      </w:r>
    </w:p>
    <w:p>
      <w:r>
        <w:rPr>
          <w:b/>
        </w:rPr>
        <w:t>E. 1</w:t>
      </w:r>
    </w:p>
    <w:p>
      <w:r>
        <w:t>Mit Eingabe vom 24. September 2015 reichte A._____ (nachfolgend: Be- schwerdeführer) Strafanzeige ein gegen Unbekannt und gegen die B._____ AG (nachfolgend: Beschwerdegegnerin 1) wegen Nötigung, versuchten Be- trugs/Vermögensschädigung, Drohungen und unlauteren Wettbewerbs (Urk. 7/1 S. 1). Mit Schreiben vom 29. September 2015 setzte die Staatsanwaltschaft Zü- rich-Limmat dem Beschwerdeführer Frist an, um seine Strafanzeige zu konkreti- sieren (Urk. 7/2). Innert erstreckter Frist ging eine weitere Eingabe des Be- schwerdeführers bei der Staatsanwaltschaft Zürich-Limmat ein, wobei er darin zu- sätzlich zu den bereits erwähnten Tatbeständen Widerhandlungen gegen die Strafbestimmungen des DSG geltend machte (Urk. 7/4 S. 3 und S. 14). Aus die- ser Eingabe ging zudem hervor, dass sich der Handlungsort in C._____ befand, weshalb das Verfahren an die örtlich zuständige Staatsanwaltschaft Limmattal/Albis (nachfolgend: Staatsanwaltschaft) überwiesen wurde (Urk. 7/5/1-3).</w:t>
      </w:r>
    </w:p>
    <w:p>
      <w:r>
        <w:rPr>
          <w:b/>
        </w:rPr>
        <w:t>E. 2</w:t>
      </w:r>
    </w:p>
    <w:p>
      <w:r>
        <w:t>Mit Verfügung vom 4. Januar 2016 nahm die Staatsanwaltschaft eine Unter- suchung wegen Nötigung, Drohung und Widerhandlung gegen das UWG nicht an Hand und überwies im Übrigen die Akten dem Statthalteramt Dietikon zur weite- ren Veranlassung (Urk. 3).</w:t>
      </w:r>
    </w:p>
    <w:p>
      <w:r>
        <w:rPr>
          <w:b/>
        </w:rPr>
        <w:t>E. 3</w:t>
      </w:r>
    </w:p>
    <w:p>
      <w:r>
        <w:t>Gegen diese Verfügung erhebt der Beschwerdeführer mit Eingabe vom 15. Januar 2016 (Datum Poststempel: 18. Januar 2016) innert Frist Beschwerde und beantragt, die Nichtanhandnahme- und Überweisungsverfügung sei aufzuhe- ben und die Untersuchung sei durchzuführen, unter Kosten- und Entschädigungs- folgen zulasten der Staatskasse. Gleichzeitig stellt der Beschwerdeführer ein Ge- such um Gewährung der unentgeltlichen Prozessführung sowie um Bestellung ei- ner unentgeltlichen Rechtsvertretung (Urk. 2 S. 7 f.)</w:t>
      </w:r>
    </w:p>
    <w:p>
      <w:r>
        <w:t>- 3 -</w:t>
      </w:r>
    </w:p>
    <w:p>
      <w:r>
        <w:rPr>
          <w:b/>
        </w:rPr>
        <w:t>E. 3.1</w:t>
      </w:r>
    </w:p>
    <w:p>
      <w:r>
        <w:t>Hinsichtlich der D._____ AG hat es der Beschwerdeführer trotz entspre- chender Aufforderung der Staatsanwaltschaft (Urk. 7/2) unterlassen, den genauen Wortlaut der Androhungen wiederzugeben sowie die entsprechende Korrespon- denz zu den Akten zu reichen. In den Akten befindet sich einzig ein E-Mail der D._____ AG vom 19. April 2013, welches jedoch keine Androhung irgendwelcher Nachteile enthält (Urk. 7/4 S. 19). Zu prüfen bleibt, ob die Sperrung des Kontos des Beschwerdeführers durch die D._____ AG unter die Generalklausel der ande- ren Beschränkung der Handlungsfreiheit fällt. Es ist jedoch nicht ersichtlich und wird vom Beschwerdeführer auch nicht dargetan, inwiefern diese Sperrung geeig- net war, ihn in einem ähnlichen Mass zu beeinflussen wie durch Gewalt oder durch Androhung ernstlicher Nachteile. Der Beschwerdeführer konnte einzig das Premium-Angebot der D._____ AG nicht nutzen, welches er gemäss eigenen Ausführungen ohnehin nur wenig genutzt hatte (Urk. 7/4 S. 19). Dadurch wurde seine freie Willensbildung sowie seine Handlungsfreiheit nicht in strafrechtlich re- levantem Masse eingeschränkt. Eine Strafbarkeit der D._____ AG wegen Nöti- gung i.S.v. Art. 181 StGB fällt ausser Betracht.</w:t>
      </w:r>
    </w:p>
    <w:p>
      <w:r>
        <w:rPr>
          <w:b/>
        </w:rPr>
        <w:t>E. 3.2</w:t>
      </w:r>
    </w:p>
    <w:p>
      <w:r>
        <w:t>Hinsichtlich der Beschwerdegegnerin 1 führte der Beschwerdeführer aus, diese habe ihm mit "Betreibungen, Gerichtsverfahren, steigenden Kostenlasten" gedroht. Dies habe ihn - den Beschwerdeführer - genötigt, sich dagegen zur Wehr setzen zu müssen, um eine Vermögensschädigung und Persönlichkeitsverletzung zu verhindern (Urk. 7/1 S. 2; Urk. 7/4 S. 4 und S. 13). Im zu den Akten gereichten Schreiben der Beschwerdegegnerin 1 vom 25. August 2015 wird der Beschwer- deführer gebeten, die Forderung bis 15. September 2015 zu begleichen, ansons- ten behalte sie - die Beschwerdegegnerin 1 - sich das Recht vor, den Ausstand auf dem betreibungsrechtlichen Weg einzufordern (Urk. 7/4 S. 17).</w:t>
      </w:r>
    </w:p>
    <w:p>
      <w:r>
        <w:t>- 8 - Mit diesen Androhungen bezweckte die Beschwerdegegnerin 1, dass der Be- schwerdeführer eine (behauptete) ausstehende Schuld begleiche, und nicht, wie der Beschwerdeführer geltend macht, dass er sich zur Wehr setze. Die Verfol- gung dieses Zwecks erscheint nicht als rechtswidrig (BGE 115 IV 207 E. 2 cc). Das Einleiten einer Betreibung oder auch die Anhängigmachung eines entspre- chenden Forderungsprozesses bei Gericht stellt den vom Gesetz vorgesehenen Weg zur Eintreibung einer ausstehenden Forderung dar. Die Androhung der Be- schwerdegegnerin 1, diese gesetzlich vorgesehenen Wege zu beschreiten, und der Hinweis auf die in diesem Zusammenhang entstehenden Kostenfolgen sind nicht rechtswidrig. Ist das angedrohte Vorgehen aber gesetzlich gerade für das Eintreiben von Forderungen vorgesehen, stehen vorliegend das Mittel und der angestrebte Zweck auch ohne Weiteres im richtigen Verhältnis zueinander bzw. sind weder rechtsmissbräuchlich noch sittenwidrig. Die Androhung, zur Eintrei- bung einer Forderung den betreibungsrechtlichen bzw. den gerichtlichen Weg zu beschreiten, entspricht denn auch den Gepflogenheiten im allgemeinen Ge- schäftsverkehr. Damit scheidet eine Strafbarkeit der Beschwerdegegnerin 1 we- gen Nötigung i.S.v. Art. 181 StGB aus.</w:t>
      </w:r>
    </w:p>
    <w:p>
      <w:r>
        <w:rPr>
          <w:b/>
        </w:rPr>
        <w:t>E. 4</w:t>
      </w:r>
    </w:p>
    <w:p>
      <w:r>
        <w:t>Gemäss Art. 180 Abs. 1 StGB wird, auf Antrag, mit Freiheitsstrafe bis zu drei Jahren oder Geldstrafe bestraft, wer jemanden durch schwere Drohung in Schre- cken oder Angst versetzt.</w:t>
      </w:r>
    </w:p>
    <w:p>
      <w:r>
        <w:rPr>
          <w:b/>
        </w:rPr>
        <w:t>E. 4.1</w:t>
      </w:r>
    </w:p>
    <w:p>
      <w:r>
        <w:t>Eine schwere Drohung besteht in der Ankündigung eines künftigen Übels, welches Schrecken oder Angst erzeugt (Delnon/Rüdy, a.a.O., N 12 zu Art. 180). Gemäss Lehre und Praxis sind dabei die gesamten Umstände in Rechnung zu stellen (Delnon/Rüdy, a.a.O, N 19 zu Art. 180). Die Anforderungen an die schwere Drohung sind grundsätzlich hoch anzusetzen (Delnon/Rüdy, a.a.O., N 22 zu Art. 180). Die Abgrenzung der schweren Drohung im Rechtssinne von einer straf- losen Ankündigung schwerwiegender Konsequenzen ist in der unzulässigen Frei- heitsbeschränkung zu suchen. Straflos ist es grundsätzlich, einen gesetzlich ge- regelten oder vertraglich erlaubten Vorgang anzukündigen, da diesbezüglich kei- ne unzulässige Freiheitsbeschränkung vorliegen kann (Delnon/Rüdy, a.a.O., N 25 zu Art. 180).</w:t>
      </w:r>
    </w:p>
    <w:p>
      <w:r>
        <w:t>- 9 -</w:t>
      </w:r>
    </w:p>
    <w:p>
      <w:r>
        <w:rPr>
          <w:b/>
        </w:rPr>
        <w:t>E. 4.2</w:t>
      </w:r>
    </w:p>
    <w:p>
      <w:r>
        <w:t>Nach dem soeben Gesagten stellt die Androhung der Beschwerdegegne- rin 1, den gesetzlich vorgesehenen Weg zur Eintreibung von Forderungen zu be- schreiten, keine unzulässige Freiheitsbeschränkung und damit keine schwere Drohung i.S.v. Art. 180 Abs. 1 StGB dar. Allfällige Androhungen der D._____ AG ergeben sich - wie bereits unter Ziff. III.3.1. erwähnt - weder aus den Akten noch wurden solche vom Beschwerdeführer hinreichend substantiiert dargetan. Zudem war hinsichtlich der D._____ AG im Zeitpunkt der Anzeigeerstattung am 25. September 2015 (Datum Poststempel) die dreimonatige Antragsfrist gemäss Art. 31 StGB mit grosser Wahrscheinlichkeit bereits verstrichen, datiert doch die ursprüngliche Rechnung der D._____ AG vom 13. April 2013 (Urk. 7/4 S. 15) und ist nicht davon auszugehen, dass die D._____ AG während einer längeren Zeit die Forderung selbst einzutreiben versuchte, bevor dies durch die Beschwerde- gegnerin 1 übernommen wurde. Nach dem Gesagten fällt eine Strafbarkeit der Beschwerdegegnerin 1 und der D._____ AG wegen Drohung i.S.v. Art. 180 Abs. 1 StGB ausser Betracht.</w:t>
      </w:r>
    </w:p>
    <w:p>
      <w:r>
        <w:rPr>
          <w:b/>
        </w:rPr>
        <w:t>E. 5</w:t>
      </w:r>
    </w:p>
    <w:p>
      <w:r>
        <w:t>Wer vorsätzlich unlauteren Wettbewerb nach Art. 3, 4, 4a, 5 oder 6 UWG begeht, wird auf Antrag mit Freiheitsstrafe bis zu drei Jahren oder Geldstrafe be- straft (Art. 23 Abs. 1 UWG). Dass die D._____ AG oder die Beschwerdegegnerin 1 unlauteren Wettbewerb nach Art. 3, 4, 4a, 5 oder 6 UWG begangen haben könnten, ist - wie die Staats- anwaltschaft zutreffend festhielt - aufgrund der Ausführungen des Beschwerde- führers in seinen Eingaben sowie aufgrund der vorhandenen Akten nicht ersicht- lich. Soweit der Beschwerdeführer der D._____ AG die Verwendung missbräuch- licher Geschäftsbedingungen i.S.v. Art. 8 UWG vorwirft (Urk. 7/4 S. 3), hat die Staatsanwaltschaft zutreffend darauf hingewiesen, dass ein Verstoss gegen Art. 8 UWG nicht strafbar ist (vgl. Art. 23 Abs. 1 UWG). Im Übrigen handelt es sich bei Art. 23 UWG um ein Antragsdelikt. Dass die D._____ AG von einer automati- schen Verlängerung der Premium-Mitgliedschaft des Beschwerdeführers ausging, war dem Beschwerdeführer bereits im April 2013 bekannt (vgl. Urk. 7/4 S. 19). Hinsichtlich der D._____ AG war damit die dreimonatige Antragsfrist gemäss</w:t>
      </w:r>
    </w:p>
    <w:p>
      <w:r>
        <w:t>- 10 - Art. 31 StGB im Zeitpunkt der Anzeigeerstattung am 25. September 2015 (Datum Poststempel) schon längst verstrichen.</w:t>
      </w:r>
    </w:p>
    <w:p>
      <w:r>
        <w:rPr>
          <w:b/>
        </w:rPr>
        <w:t>E. 6</w:t>
      </w:r>
    </w:p>
    <w:p>
      <w:r>
        <w:t>Im Raum stehen noch die Vorwürfe des Beschwerdeführers betreffend Be- trug, eventualiter Vermögensschädigung, sowie betreffend Widerhandlungen ge- gen die Strafbestimmungen des DSG. Der Beschwerdeführer erachtet (sinnge- mäss) die diesbezüglich durch die Staatsanwaltschaft erfolgte Überweisung der Akten an das Statthalteramt Dietikon als unzulässig. Er beantragt die Aufhebung der Überweisungsverfügung (vgl. Urk. 2 S. 7 Rechtsbegehren Ziff. 2) und bean- standet, die Staatsanwaltschaft habe es unterlassen, den Tatbestand des Betrugs zu untersuchen, obwohl diesbezüglich ein Anfangsverdacht bestehe (Urk. 2 S. 5). Die Staatsanwaltschaft habe elementarste Sachverhalte nicht geklärt, wobei dazu "jede Gedankenführung bzw. Faktenwertung" in der Begründung der Staatsan- waltschaft fehle, was einen Begründungsmangel darstelle (Urk. 2 S. 6).</w:t>
      </w:r>
    </w:p>
    <w:p>
      <w:r>
        <w:rPr>
          <w:b/>
        </w:rPr>
        <w:t>E. 6.1</w:t>
      </w:r>
    </w:p>
    <w:p>
      <w:r>
        <w:t>Entgegen den Ausführungen des Beschwerdeführers hat sich die Staatsan- waltschaft zum Tatbestand des Betrugs geäussert. Sie legte zutreffend dar, dass für ein gewerbsmässiges Handeln keine Anhaltspunkte bestünden und dass vor- liegend einzig ein geringfügiger versuchter Betrug i.S.v. Art. 146 i.V.m. Art. 172ter [und Art. 22 Abs. 1] StGB in Frage komme. Da es sich bei einem geringfügigen Betrug wie auch bei den Strafbestimmungen des DSG um Übertretungen handle, liege kein in staatsanwaltschaftlicher Kompetenz zu verfolgendes Delikt vor, wes- halb die Akten der zuständigen Übertretungsstrafbehörde zur Prüfung, ob Über- tretungen begangen worden seien, zu überweisen sei (Urk. 3 S. 6). Der vom Be- schwerdeführer geltend gemachte Begründungsmangel liegt damit nicht vor.</w:t>
      </w:r>
    </w:p>
    <w:p>
      <w:r>
        <w:rPr>
          <w:b/>
        </w:rPr>
        <w:t>E. 6.2</w:t>
      </w:r>
    </w:p>
    <w:p>
      <w:r>
        <w:t>Zutreffend ist, dass die Staatsanwaltschaft die noch im Raum stehenden Übertretungen nicht materiell geprüft hat, was jedoch - entgegen der Ansicht des Beschwerdeführers - nicht zu beanstanden ist. Die von der Staatsanwaltschaft angeordnete Überweisung der Akten an das Statthalteramt Dietikon zur weiteren Veranlassung (vgl. Urk. 3 S. 7) hat zur Folge, dass die Übertretungsstrafbehörde (nach Eintritt der Rechtskraft der Nichtanhandnahme der Untersuchung wegen Nötigung, Drohung und Widerhandlung gegen das UWG) die Tatbestände des geringfügigen versuchten Betruges, allenfalls der geringfügigen versuchten Ver-</w:t>
      </w:r>
    </w:p>
    <w:p>
      <w:r>
        <w:t>- 11 - mögensschädigung, sowie die geltend gemachten Widerhandlungen gegen das DSG zu beurteilen haben wird. Hinsichtlich dieser Tatbestände ist das Strafver- fahren noch nicht abgeschlossen. Durch die erfolgte Überweisung ist der Be- schwerdeführer nicht persönlich beschwert, kann er doch mit seiner Beschwerde in diesem Punkt keinen für ihn günstigeren Entscheid erwirken. Somit fehlt das in Art. 382 Abs. 1 StPO erwähnte rechtlich geschützte Interesse an der Aufhebung der Überweisung und damit eine Prozessvoraussetzung. Auf die Beschwerde ist in diesem Punkt daher nicht einzutreten.</w:t>
      </w:r>
    </w:p>
    <w:p>
      <w:r>
        <w:rPr>
          <w:b/>
        </w:rPr>
        <w:t>E. 6.3</w:t>
      </w:r>
    </w:p>
    <w:p>
      <w:r>
        <w:t>Somit kann die Frage, ob eine in Anwendung von § 90 GOG/ZH ergangene Überweisungsverfügung überhaupt mit Beschwerde im Sinne von Art. 393 ff. StPO angefochten werden kann oder ob dagegen eine Einsprache zu erheben gewesen wäre (vgl. dazu die Rechtsmittelbelehrung der Staatsanwaltschaft in Urk. 3 S. 7), offen gelassen werden.</w:t>
      </w:r>
    </w:p>
    <w:p>
      <w:r>
        <w:rPr>
          <w:b/>
        </w:rPr>
        <w:t>E. 7</w:t>
      </w:r>
    </w:p>
    <w:p>
      <w:r>
        <w:t>Zusammenfassend ist festzuhalten, dass die Staatsanwaltschaft hinsichtlich der Tatbestände der Nötigung, der Drohung und des unlauteren Wettbewerbs ei- ne Strafuntersuchung zu Recht nicht an Hand genommen hat. Hinsichtlich der er- gangenen Überweisungsverfügung fehlt dem Beschwerdeführer das rechtlich ge- schützte Interesse an der Aufhebung der Überweisung. Die Beschwerde ist ab- zuweisen, soweit darauf einzutreten ist. IV. 1. Bei diesem Ausgang des Verfahrens sind die Kosten dem Beschwerdeführer aufzuerlegen (Art. 428 Abs. 1 StPO). Der Beschwerdeführer beantragt die unent- geltliche Prozessführung für das vorliegende Beschwerdeverfahren sowie die Be- stellung einer unentgeltlichen Rechtsvertretung, ohne diese Anträge zu begrün- den (Urk. 2 S. 7). 2. Nach Art. 29 Abs. 3 BV hat jede Person, die nicht über die erforderlichen Mittel verfügt, einen Anspruch auf unentgeltlichen Rechtsbeistand, wenn ihr Rechtsbegehren nicht aussichtslos erscheint und soweit es zur Wahrung ihrer Rechte notwendig ist. Gemäss Art. 136 Abs. 1 StPO kann der Privatklägerschaft,</w:t>
      </w:r>
    </w:p>
    <w:p>
      <w:r>
        <w:t>- 12 - der die nötigen Mittel für die Durchsetzung ihrer Zivilansprüche fehlen und deren Begehren nicht aussichtslos erscheint, die Befreiung von Verfahrenskosten ge- währt werden. 3. Den Erwägungen unter III. folgend – die Beschwerde ist abzuweisen, soweit darauf einzutreten ist – erweisen sich die Anträge des Beschwerdeführers im vor- liegenden Verfahren als aussichtslos, die Voraussetzung der genügenden Pro- zesschance fehlt. Das Gesuch um unentgeltliche Prozessführung und um Bestel- lung eines unentgeltlichen Rechtsbeistands ist demzufolge für das vorliegende Beschwerdeverfahren abzuweisen. 4. Bei der Festsetzung der Gerichtsgebühr sind die Bedeutung des Falls, der Zeitaufwand des Gerichts sowie die Schwierigkeit des Falls zu berücksichtigen (vgl. dazu §§ 2 Abs.1 lit. b-d und 17 Abs. 1 GebV OG). Im Ergebnis ist die Ge- richtsgebühr auf Fr. 800.– festzusetzen. 5. Entschädigungen sind keine zuzusprechen. 6. Nachdem bisher weder die D._____ AG noch die E._____ AG am Verfahren beteiligt waren und die Staatsanwaltschaft weder der D._____ AG noch der E._____ AG die Nichtanhandnahme- und Überweisungsverfügung vom 4. Januar 2016 zukommen liess, kann auch im vorliegenden Verfahren auf eine Zustellung an die D._____ AG und die E._____ AG verzichtet werden. Es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