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UE150161 vom 25. September 2015</w:t>
      </w:r>
    </w:p>
    <w:p>
      <w:r>
        <w:t>ZH Obergericht, 2015-09-25, DE</w:t>
      </w:r>
    </w:p>
    <w:p>
      <w:r>
        <w:rPr>
          <w:b/>
        </w:rPr>
        <w:t xml:space="preserve">Quelle: </w:t>
      </w:r>
      <w:r>
        <w:t>https://mcp.opencaselaw.ch/entscheid/zh_obergericht_UE150161</w:t>
      </w:r>
    </w:p>
    <w:p>
      <w:r>
        <w:t>FR: ZH_OBERGERICHT UE150161 du 25 septembre 2015</w:t>
      </w:r>
    </w:p>
    <w:p>
      <w:r>
        <w:t>IT: ZH_OBERGERICHT UE150161 del 25 settembre 2015</w:t>
      </w:r>
    </w:p>
    <w:p>
      <w:pPr>
        <w:pStyle w:val="Heading2"/>
      </w:pPr>
      <w:r>
        <w:t>Erwägungen</w:t>
      </w:r>
    </w:p>
    <w:p>
      <w:r>
        <w:rPr>
          <w:b/>
        </w:rPr>
        <w:t>E. 1</w:t>
      </w:r>
    </w:p>
    <w:p>
      <w:r>
        <w:t>Mit Schreiben vom 8. April 2015 erstattete A._____ (Beschwerdeführer) bei der Staatsanwaltschaft Zürich-Sihl "30 Strafanzeigen gegen Beamten im Kan- ton Zürich" (Urk. 7/1). Am 3. Juli 2015 verfügte die Staatsanwaltschaft I des Kan- tons Zürich die Nichtanhandnahme der Strafuntersuchung (Urk. 5). Dagegen er- hob der Beschwerdeführer mit Eingabe vom 16. Juli 2015 Beschwerde (Urk. 2).</w:t>
      </w:r>
    </w:p>
    <w:p>
      <w:r>
        <w:rPr>
          <w:b/>
        </w:rPr>
        <w:t>E. 2</w:t>
      </w:r>
    </w:p>
    <w:p>
      <w:r>
        <w:t>Der Beschwerdeführer wurde mit Verfügung vom 28. Juli 2015 in Anwen- dung von Art. 383 StPO aufgefordert, innert 30 Tagen für allfällige Prozesskosten Sicherheit zu leisten, unter der Androhung des Nichteintretens (Urk. 8; Prot. S. 2 f.). Dagegen erhob der Beschwerdeführer mit Eingabe vom 26. August 2015 Beschwerde beim Schweizerischen Bundesgericht (Urk. 15). Mit Urteil vom 1. September 2015 trat das Bundesgericht auf die Beschwerde nicht ein (Urk. 14).</w:t>
      </w:r>
    </w:p>
    <w:p>
      <w:r>
        <w:rPr>
          <w:b/>
        </w:rPr>
        <w:t>E. 3</w:t>
      </w:r>
    </w:p>
    <w:p>
      <w:r>
        <w:t>August 2015 bei der Post in Empfang (Urk. 18). Die 30-tägige Frist zur Leistung der Kaution endete am Mittwoch, 2. September 2015. Die verlangte Kaution wur- de innert Frist nicht geleistet (vgl. Prot. S. 4). Androhungsgemäss ist daher auf die Beschwerde nicht einzutreten.</w:t>
      </w:r>
    </w:p>
    <w:p>
      <w:r>
        <w:rPr>
          <w:b/>
        </w:rPr>
        <w:t>E. 4</w:t>
      </w:r>
    </w:p>
    <w:p>
      <w:r>
        <w:t>Der Beschwerdeführer stellt in seiner Beschwerdeschrift Strafanzeige ge- gen den fallführenden Staatsanwalt der Staatsanwaltschaft Zürich-Sihl. In seiner Beschwerdeschrift ans Bundesgericht, welche er der hiesigen Kammer ebenfalls einreichte (Urk. 10), erstattete er zudem Strafanzeige gegen mehrere Mitarbeiter der Staatsanwaltschaft sowie der hiesigen Kammer. Auf diese Anzeigen ist nicht weiter einzugehen, nachdem dem Beschwerdeführer bereits bei verschiedenen Gelegenheiten mitgeteilt wurde, dass die III. Strafkammer des Zürcher Oberge- richts für die Entgegennahme von Strafanzeigen nicht zuständig ist (statt vieler: Schreiben vom 20. Februar 2015, Verfahren UZ150020-O).</w:t>
      </w:r>
    </w:p>
    <w:p>
      <w:r>
        <w:rPr>
          <w:b/>
        </w:rPr>
        <w:t>E. 5</w:t>
      </w:r>
    </w:p>
    <w:p>
      <w:r>
        <w:t>Bei diesem Ausgang des Verfahrens trägt der Beschwerdeführer die Kos- ten (Art. 428 Abs. 1 StPO). Die Gerichtsgebühr ist in Anwendung von § 17 Abs. 1 in Verbindung mit § 2 GebV OG auf Fr. 300.– festzusetzen.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