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UE150150 vom 26. Februar 2016</w:t>
      </w:r>
    </w:p>
    <w:p>
      <w:r>
        <w:t>ZH Obergericht, 2016-02-26, DE</w:t>
      </w:r>
    </w:p>
    <w:p>
      <w:r>
        <w:rPr>
          <w:b/>
        </w:rPr>
        <w:t xml:space="preserve">Quelle: </w:t>
      </w:r>
      <w:r>
        <w:t>https://mcp.opencaselaw.ch/entscheid/zh_obergericht_UE150150</w:t>
      </w:r>
    </w:p>
    <w:p>
      <w:r>
        <w:t>FR: ZH_OBERGERICHT UE150150 du 26 février 2016</w:t>
      </w:r>
    </w:p>
    <w:p>
      <w:r>
        <w:t>IT: ZH_OBERGERICHT UE150150 del 26 febbraio 2016</w:t>
      </w:r>
    </w:p>
    <w:p>
      <w:pPr>
        <w:pStyle w:val="Heading2"/>
      </w:pPr>
      <w:r>
        <w:t>Erwägungen</w:t>
      </w:r>
    </w:p>
    <w:p>
      <w:r>
        <w:rPr>
          <w:b/>
        </w:rPr>
        <w:t>E. 1</w:t>
      </w:r>
    </w:p>
    <w:p>
      <w:r>
        <w:t>Mit Schreiben vom 16. April 2015 erstattete A._____ (nachfolgend: Be- schwerdeführerin) bei der Kantonspolizei Zürich Strafanzeige gegen Unbekannt (später als C._____ identifiziert; nachfolgend: Beschwerdegegner 1) betreffend Widerhandlungen gegen das Hundegesetz sowie Nötigung und versuchter Kör- perverletzung (Urk. 15/1). Am 23. Juni 2015 erliess die Staatsanwaltschaft See/Oberland eine Nichtanhandnahme- und Überweisungsverfügung (Urk. 3/8 = Urk. 15/9 = Urk. 5).</w:t>
      </w:r>
    </w:p>
    <w:p>
      <w:r>
        <w:rPr>
          <w:b/>
        </w:rPr>
        <w:t>E. 2</w:t>
      </w:r>
    </w:p>
    <w:p>
      <w:r>
        <w:t>Gegen die der Beschwerdeführerin am 29. Juni 2015 zugestellte Verfügung (Urk. 15/11) erhob diese mit Schreiben vom 5. Juli 2015 (Datum Poststempel:</w:t>
      </w:r>
    </w:p>
    <w:p>
      <w:r>
        <w:rPr>
          <w:b/>
        </w:rPr>
        <w:t>E. 6</w:t>
      </w:r>
    </w:p>
    <w:p>
      <w:r>
        <w:t>Juli 2015) persönlich und fristgerecht Beschwerde bei der hiesigen Kammer (Urk. 2) mit den folgenden Anträgen: " I. Ich bitte das Obergericht, die formelle Rechtmässigkeit der Verfü- gung in Bezug auf die Nichtanhandnahme sowie die fehlerhafte Zustellung zu prüfen. Sodann sei die Staatsanwaltschaft anzu- weisen, zukünftig ihre Korrespondenz meinem Rechtsbeistand zuzustellen. II. Aufgrund des unwahrhaften Schlusses der Staatsanwaltschaft, dass ich durch die ausgesprochene Drohung nicht in Angst und Schrecken versetzt wurde, und der damit verbundenen Nichtan- handnahme, sei das Geschäft dieser zwecks weiterer Untersu- chungen zurückzuweisen." 3. Die mit Verfügung vom 10. August 2015 der Beschwerdeführerin auferlegte Prozesskaution von Fr. 1'000.– leistete diese rechtzeitig (Urk. 11). Die Staatsan- waltschaft (16. September 2015; Urk. 14) und der Beschwerdegegner 1 (22. Sep- tember 2015; Urk. 18) beantragten die Abweisung der Beschwerde. Die Be- schwerdeführerin liess am 12. Oktober 2015 (Datum Poststempel) replizieren (Urk. 21); auf Dupliken wurde verzichtet (Urk. 24 und 26). Wegen Abwesenheiten ergeht dieser Entscheid nicht in der den Parteien ange- kündigten Besetzung (vgl. Urk. 9).</w:t>
      </w:r>
    </w:p>
    <w:p>
      <w:r>
        <w:t>- 3 - 4. Die Beschwerdeführerin hat die Nichtanhandnahme- und Überweisungsver- fügung nur in Bezug auf die Nichtanhandnahme einer Strafuntersuchung ange- fochten. Soweit die Staatsanwaltschaft zur Beurteilung der verbleibenden Tatvor- würfe der Tätlichkeiten und der Übertretung des Hundegesetzes dem Statthalter- amt Meilen überwies, ist dies nicht Gegenstand des vorliegenden Beschwerdever- fahrens.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