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UE140355 vom 30. September 2015</w:t>
      </w:r>
    </w:p>
    <w:p>
      <w:r>
        <w:t>ZH Obergericht, 2015-09-30, DE</w:t>
      </w:r>
    </w:p>
    <w:p>
      <w:r>
        <w:rPr>
          <w:b/>
        </w:rPr>
        <w:t xml:space="preserve">Quelle: </w:t>
      </w:r>
      <w:r>
        <w:t>https://mcp.opencaselaw.ch/entscheid/zh_obergericht_UE140355</w:t>
      </w:r>
    </w:p>
    <w:p>
      <w:r>
        <w:t>FR: ZH_OBERGERICHT UE140355 du 30 septembre 2015</w:t>
      </w:r>
    </w:p>
    <w:p>
      <w:r>
        <w:t>IT: ZH_OBERGERICHT UE140355 del 30 settembre 2015</w:t>
      </w:r>
    </w:p>
    <w:p>
      <w:pPr>
        <w:pStyle w:val="Heading2"/>
      </w:pPr>
      <w:r>
        <w:t>Erwägungen</w:t>
      </w:r>
    </w:p>
    <w:p>
      <w:r>
        <w:rPr>
          <w:b/>
        </w:rPr>
        <w:t>E. 1</w:t>
      </w:r>
    </w:p>
    <w:p>
      <w:r>
        <w:t>Am 27. Juli 2013 kam es auf der Autobahn A1, Fahrtrichtung Winterthur, Höhe Brütisellen zu einem Verkehrsunfall, an welchem B._____ (nachfolgend: Beschwerdegegner 1) als Lenker des Personenwagens " Excalibur SS Phaethon " sowie A._____ (nachfolgend: Beschwerdeführerin) als Mitfahrerin beteiligt waren (Urk. 10/1). Am 24. Oktober 2013 stellte die Beschwerdeführerin fristgerecht Strafantrag gegen den Beschwerdegegner 1 wegen Körperverletzung (Urk. 10/4). Mit Verfügung vom 12. Dezember 2014 stellte die Staatsanwaltschaft See/Oberland das Strafverfahren gegen den Beschwerdegegner 1 ein (Urk. 3/1 = Urk. 6 = Urk. 10/26).</w:t>
      </w:r>
    </w:p>
    <w:p>
      <w:r>
        <w:rPr>
          <w:b/>
        </w:rPr>
        <w:t>E. 2</w:t>
      </w:r>
    </w:p>
    <w:p>
      <w:r>
        <w:t>Gegen die der Beschwerdeführerin am 18. Dezember 2014 zugegangene (Urk. 10/29) Einstellungsverfügung liess diese mit Eingabe vom 29. Dezember 2014 fristgerecht Beschwerde mit den folgenden Anträgen erheben (Urk. 2 S. 2): " Es sei die Einstellungsverfügung vom 12.12.2014, Prozess- Nr. 151103907 aufzuheben und die Sache an die Staatsanwaltschaft See/Oberland zurückzuweisen, damit sie Anklage gegen den Be- schuldigten erhebe, unter Kosten- und Entschädigungsfolgen zulasten der Staatskasse."</w:t>
      </w:r>
    </w:p>
    <w:p>
      <w:r>
        <w:rPr>
          <w:b/>
        </w:rPr>
        <w:t>E. 3</w:t>
      </w:r>
    </w:p>
    <w:p>
      <w:r>
        <w:t>Mit Verfügung der Kammer vom 8. Januar 2015 wurde der Beschwerdefüh- rerin eine Prozesskaution von Fr. 2'500.– auferlegt (Urk. 7), welche am 19. Januar 2015 geleistet wurde (Urk. 8). Mit Verfügung vom 26. Januar 2015 wurde die Be- schwerdeschrift dem Beschwerdegegner 1 sowie der Staatsanwaltschaft zur (frei- gestellten) Stellungnahme und Einsendung der Akten übermittelt (Urk. 9). Die Staatsanwaltschaft reichte am 2. Februar 2015 ihre Stellungnahme ein und schloss auf Abweisung der Beschwerde (Urk. 11); der Beschwerdegegner 1 liess sich nicht vernehmen. Mit Eingabe vom 16. März 2015 verzichtete die Beschwer- deführerin auf eine Replik (Urk. 17).</w:t>
      </w:r>
    </w:p>
    <w:p>
      <w:r>
        <w:t>- 3 - II. 1. Hintergrund des vorliegenden Verfahrens bildet folgender Sachverhalt: Der Beschwerdegegner 1 kaufte im Dezember 2012 einen 1972 in Verkehr gesetzten "Excalibur SS Phaethon", welchen er im Frühling 2013 vom Verkäufer übernahm. Der Wagen bestand letztmals am 6. bzw. 20. November 2012 die obligatorische Motorfahrzeugkontrolle. Am 27. Juli 2013 kam es mit diesem durch den Be- schwerdegegner 1 gelenkten Fahrzeug auf der Autobahn A1, Fahrtrichtung Win- terthur, Höhe Brüttisellen zu einem Verkehrsunfall, bei welchem die Beschwerde- führerin ein mittelgradig schweres Schädel-Hirn-Trauma mit einer ausgedehnten Rissquetschwunde an der rechten Schläfe, eine instabile Verletzung an der Len- denwirbelsäule mit Beteiligung des 1. und 4. Lendenwirbelkörpers und eine seitli- che Beckenfraktur erlitt (vgl. Urk. 6). 2. In der angefochtenen Einstellungsverfügung erwog die Staatsanwaltschaft, im Kurzgutachten des Forensischen Institutes Zürich vom 18. Februar 2014 wer- de als Schlussfolgerung der Auswertung des geplatzten Reifens, welcher notabe- ne den Vorschriften entsprochen habe, und den damit in Zusammenhang stehen- den Abklärungen festgehalten, dass die "Beschädigung durch Reifenalter" unfall- ursächlich gewesen sei. Obschon aufgrund der visuellen Untersuchung des Rei- fens keine Hinweise für ein Eindringen eines Fremdkörpers in den Reifen vorge- legen hätten, werde nicht ausgeschlossen, dass ein Gegenstand das Platzen des Pneus ausgelöst habe, wie vom Beschwerdegegner 1 geltend gemacht worden sei. Nachdem dem Beschwerdegegner 1 kein Fehlverhalten nachgewiesen wer- den könne, er mithin in strafrechtlicher Hinsicht keine Verantwortung für das Un- fallgeschehen trage, sei das Verfahren ohne Weiterungen einzustellen (Urk. 6).</w:t>
      </w:r>
    </w:p>
    <w:p>
      <w:r>
        <w:rPr>
          <w:b/>
        </w:rPr>
        <w:t>E. 3.1</w:t>
      </w:r>
    </w:p>
    <w:p>
      <w:r>
        <w:t>Die Beschwerdeführerin wirft dem Beschwerdegegner 1 fahrlässige Körper- verletzung im Sinne von Art. 125 StGB vor. Fahrlässig handelt, wer die Folge sei- nes Verhaltens aus pflichtwidriger Unvorsichtigkeit nicht bedenkt oder darauf nicht Rücksicht nimmt (Art. 12 Abs. 3 StGB). Ein Schuldspruch wegen fahrlässiger Körperverletzung gemäss Art. 125 StGB setzt somit voraus, dass der Täter den Erfolg durch Verletzung einer Sorgfaltspflicht verursacht hat. Sorgfaltswidrig ist die Handlungsweise, wenn der Täter zum Zeitpunkt der Tat aufgrund der Um- stände sowie seiner Kenntnisse und Fähigkeiten die damit bewirkte Gefährdung der Rechtsgüter des Opfers hätte erkennen können und müssen und wenn er zu- gleich die Grenzen des erlaubten Risikos überschritten hat. Für die Zurechenbar- keit des Erfolgs genügt die blosse Vorhersehbarkeit nicht. Erforderlich ist auch dessen Vermeidbarkeit. Der Erfolg ist vermeidbar, wenn er nach einem hypotheti- schen Kausalverlauf bei pflichtgemässem Verhalten des Täters ausgeblieben wä- re. Das Mass der im Einzelfall zu beachtenden Sorgfalt richtet sich, wo besonde- re, der Unfallverhütung und der Sicherheit dienende Normen ein bestimmtes Ver- halten gebieten, in erster Linie nach diesen Vorschriften (Urteil des Bundesge- richts 6B_954/2014 vom 13. März 2015 E. 1.3.1 mit Hinweis auf BGE 135 IV 56 E. 2.1). Grundvoraussetzung für das Bestehen einer Sorgfaltspflichtverletzung und mithin für die Fahrlässigkeitshaftung bildet, wie erwähnt, die Vorhersehbarkeit des Erfolgs. Die zum Erfolg führenden Geschehensabläufe müssen für den konkreten Täter mindestens in ihren wesentlichen Zügen voraussehbar sein. Zunächst ist daher zu fragen, ob der Täter eine Gefährdung der betreffenden Rechtsgüter hät- te voraussehen beziehungsweise erkennen können und müssen. Für die Beant- wortung dieser Frage gilt der Massstab der Adäquanz. Danach muss das Verhal- ten geeignet sein, nach dem gewöhnlichen Lauf der Dinge und den Erfahrungen</w:t>
      </w:r>
    </w:p>
    <w:p>
      <w:r>
        <w:t>- 7 - des Lebens einen Erfolg wie den eingetretenen herbeizuführen oder mindestens zu begünstigen. Weitere Voraussetzung ist, dass der Erfolg vermeidbar war. Da- 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140 II 7 E. 3.4; Urteil des Bundesgerichts 6B_738/2012 vom 18. Juli 2013 E. 2.3.1).</w:t>
      </w:r>
    </w:p>
    <w:p>
      <w:r>
        <w:rPr>
          <w:b/>
        </w:rPr>
        <w:t>E. 3.2</w:t>
      </w:r>
    </w:p>
    <w:p>
      <w:r>
        <w:t>Im Strassenverkehr beurteilt sich der Umfang der zu beachtenden Sorgfalt nach den Bestimmungen des Strassenverkehrsgesetzes und der dazu gehören- den Verordnungen. Gemäss Art. 29 SVG dürfen Fahrzeuge nur in betriebssiche- rem und vorschriftsgemässem Zustand verkehren. Sie müssen so beschaffen und unterhalten sein, dass die Verkehrsregeln befolgt werden können und dass Füh- rer, Mitfahrende und andere Strassenbenützer nicht gefährdet und die Strassen nicht beschädigt werden. Der Führer hat sich zu vergewissern, dass Fahrzeug und Ladung in vorschriftsgemässem Zustand sind (Art. 57 Abs. 1 der Verkehrsre- gelnverordnung [VRV]).</w:t>
      </w:r>
    </w:p>
    <w:p>
      <w:r>
        <w:rPr>
          <w:b/>
        </w:rPr>
        <w:t>E. 3.3</w:t>
      </w:r>
    </w:p>
    <w:p>
      <w:r>
        <w:t>Aufgrund der Akten ist erstellt, dass das fragliche Fahrzeug nicht den Vor- schriften von Art. 29 SVG entsprach und damit dessen Verkehrs- und Betriebssi- cherheit nicht gegeben war: Der geplatzte Reifen des Unfallfahrzeugs war auf- grund seines hohen Alters den Beanspruchungen im Strassenverkehr nicht mehr gewachsen.</w:t>
      </w:r>
    </w:p>
    <w:p>
      <w:r>
        <w:rPr>
          <w:b/>
        </w:rPr>
        <w:t>E. 3.4</w:t>
      </w:r>
    </w:p>
    <w:p>
      <w:r>
        <w:t>In Fällen, in denen Reifen Gegenstand von Verkehrsregelverletzungen sind, geht das Bundesgericht regelmässig davon aus, dass eine (visuelle) Kontrolle der Reifen durch den Fahrzeugführer eine zumutbare Handlung darstelle und deren Unterlassung Fahrlässigkeit begründe. So entschied das Bundesgericht im Urteil 1C_282/2011 vom 27. September 2011 auf Grobfahrlässigkeit, weil der Fahr- zeugführer die starke Abnutzung der Reifen (bei einem Reifen war gar das Ge- webe sichtbar, zwei andere wiesen deutlich mangelhafte Profiltiefen auf) bei pflichtgemässer Sorgfalt ohne Weiteres hätte erkennen können (E. 3.5). Und im Urteil 6B_694/2010 vom 16. Dezember 2010 führte das Bundesgericht aus, der Fahrzeugführer erfülle den subjektiven Tatbestand der Strafbestimmung von</w:t>
      </w:r>
    </w:p>
    <w:p>
      <w:r>
        <w:t>- 8 - Art. 93 SVG, "wenn er vor Fahrtantritt keine Reifenkontrolle durchführte" (E. 10.2.2). 3.5.1 Der Gesetzgeber hat keine Vorschriften über das Alter von Fahrzeugreifen erlassen. Anhaltspunkte über das Maximalalter von Reifen lassen sich zum Bei- spiel der Homepage des "RVS ASP Reifen-Verband der Schweiz" entnehmen, welcher schreibt: "Es wird empfohlen, Reifen, die älter als 10 Jahre sind, nur noch zu benutzen, wenn sie vorher ständig unter normalen Bedingungen im Einsatz waren. Diese Reifen sollten also nicht mehr umgesteckt, sondern nur noch im lau- fenden Betrieb abgefahren werden. Davon abweichende Empfehlungen der Rei- fenhersteller sind zu beachten." (vgl. www.swisspneu.ch/index.cfm?page=112683, zuletzt besucht am: 25. September 2015). 3.5.2 Der Beschwerdegegner 1 machte in der Untersuchung geltend, die Reifen des fraglichen Fahrzeugs seien optisch in einem einwandfreien Zustand gewesen, hätten über eine genügende Profiltiefe verfügt und hätten überdies noch über so- genannte Gussnoppen verfügt (Urk. 10/10 S. 5). Letztere sind Rückstände am Reifen, welche im Herstellungsprozess entstehen, und die im Laufe der Nutzung des Reifens abgetragen werden. Sie deuten auf einen nicht bis wenig benutzten Reifen hin. Das Kurz-Gutachten bestätigte – wie erwähnt – den optisch einwandfreien Zustand der Reifen: "Klammert man die Altersangabe aus, hätte der allgemeine Zustand des Reifens vor dem Ereignis zu keinen Bedenken für eine weitere Ver- wendung Anlass gegeben. Die Profiltiefe betrug zirka 5 mm. Risse waren von blossem Auge wohl nicht erkennbar." (Urk. 10/12/3 S. 6). Gesetzlich geregelt ist die Profiltiefe der Reifen, die minimal 1,6 Millimeter betragen muss (Art. 58 Abs. 4 der Verordnung über die technischen Anforderun- gen an Strassenfahrzeuge [VTS]). Der Touring Club der Schweiz (TCS) empfiehlt aus Sicherheitsgründen eine Profiltiefe von 3 Millimetern (bei Sommerreifen) bzw.</w:t>
      </w:r>
    </w:p>
    <w:p>
      <w:r>
        <w:rPr>
          <w:b/>
        </w:rPr>
        <w:t>E. 3.6</w:t>
      </w:r>
    </w:p>
    <w:p>
      <w:r>
        <w:t>Nach dem Ausgeführten steht zwar fest, dass die Verkehrs- und Betriebssi- cherheit im Sinne von Art. 29 SVG der vom Beschwerdegegner 1 verwendeten Reifen nicht gegeben war. Jedoch ergeben sich aus den Akten keinerlei Anhalts- punkte dafür, dass der Beschwerdegegner 1 Hinweise auf das aussergewöhnlich hohe Alter der verwendeten Reifen hatte oder hätte haben müssen. Im Gegenteil hatte der Beschwerdegegner 1 aufgrund der kurz vor dem Verkauf des Fahrzeugs bestandenen Motorfahrzeugkontrolle, welche gerade der Prüfung der Betriebssi- cherheit dient, der Aussage seines Garagisten, der Zustand des Fahrzeugs sei "perfekt", des optisch einwandfreien Zustands der Reifen sowie den durchgeführ-</w:t>
      </w:r>
    </w:p>
    <w:p>
      <w:r>
        <w:t>- 10 - ten Testfahrten gewichtige Hinweise darauf, dass mit dem gekauften Fahrzeug und insbesondere dessen Reifen alles in Ordnung war. Auch konnte er aufgrund der Bezeichnungen am Reifen selber nicht ohne Weiteres auf deren Produktions- woche schliessen und damit das hohe Alter des Reifens erkennen. Selbst im Lich- te der vorstehend dargelegten bundesgerichtlichen Rechtsprechung, wonach der Fahrzeugführer vor der Fahrt die Reifen zu prüfen hat, ist deshalb davon auszu- gehen, dass dem Beschwerdegegner 1 kein strafrechtlicher Vorwurf gemacht werden kann, dass er das aussergewöhnlich hohe Alter der Reifen nicht bemerkt hatte. Anhaltspunkte für ein derart hohes Alter der Reifen bestanden für den Be- schwerdegegner 1 auch deshalb nicht, weil im spezialisierten Fachhandel auch für sehr alte Fahrzeuge noch neu hergestellte Reifen angeboten werden. Der Be- schwerdegegner 1 musste sich deshalb auch nicht explizit nach dem Alter der Reifen erkundigen.</w:t>
      </w:r>
    </w:p>
    <w:p>
      <w:r>
        <w:rPr>
          <w:b/>
        </w:rPr>
        <w:t>E. 4</w:t>
      </w:r>
    </w:p>
    <w:p>
      <w:r>
        <w:t>Zusammenfassend ist festzuhalten, dass der Beschwerdegegner 1 die Ge- fährdung der Rechtsgüter der Beschwerdeführerin weder erkennen konnte noch hätte erkennen müssen, weshalb eine Sorgfaltspflichtverletzung zu verneinen ist. Die Beschwerde erweist sich als unbegründet und ist abzuweisen. IV. Bei diesem Ausgang des Verfahrens hat die Beschwerdeführerin die Kosten zu tragen (Art. 428 Abs. 1 StPO) und keinen Anspruch auf Entschädigung. Ange- sichts der Bedeutung und Schwierigkeit des Falls sowie des Zeitaufwands des Gerichts ist die Gerichtsgebühr für das Beschwerdeverfahren auf Fr. 1'000.– fest- zusetzen (§ 17 Abs. 1 und § 2 Abs. 1 GebV OG) und mit der bezogenen Kaution zu verrechnen (Art. 383 Abs. 1 StPO). Dem Beschwerdegegner 1 ist mangels er- heblicher Umtriebe keine Entschädigung zuzusprechen, er hat sich im Beschwer- deverfahren nicht vernehmen lassen.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