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UE140202 vom 20. April 2015</w:t>
      </w:r>
    </w:p>
    <w:p>
      <w:r>
        <w:t>ZH Obergericht, 2015-04-20, DE</w:t>
      </w:r>
    </w:p>
    <w:p>
      <w:r>
        <w:rPr>
          <w:b/>
        </w:rPr>
        <w:t xml:space="preserve">Quelle: </w:t>
      </w:r>
      <w:r>
        <w:t>https://mcp.opencaselaw.ch/entscheid/zh_obergericht_UE140202</w:t>
      </w:r>
    </w:p>
    <w:p>
      <w:r>
        <w:t>FR: ZH_OBERGERICHT UE140202 du 20 avril 2015</w:t>
      </w:r>
    </w:p>
    <w:p>
      <w:r>
        <w:t>IT: ZH_OBERGERICHT UE140202 del 20 aprile 2015</w:t>
      </w:r>
    </w:p>
    <w:p>
      <w:pPr>
        <w:pStyle w:val="Heading2"/>
      </w:pPr>
      <w:r>
        <w:t>Erwägungen</w:t>
      </w:r>
    </w:p>
    <w:p>
      <w:r>
        <w:rPr>
          <w:b/>
        </w:rPr>
        <w:t>E. 1</w:t>
      </w:r>
    </w:p>
    <w:p>
      <w:r>
        <w:t>Zwischen A._____ (nachfolgend: Beschwerdeführer) und B._____ (nachfol- gend: Beschwerdegegnerin 1) sind verschiedene Straf- und Zivilverfahren hängig. Unter anderem liess der Beschwerdeführer mit Eingabe vom 14. Juli 2014 Straf- anzeige gegen die Beschwerdegegnerin 1 wegen versuchter Anstiftung zu falschem Zeugnis einreichen (Urk. 12/1). Am 16. Juli 2014 erliess die Staatsan- waltschaft IV des Kantons Zürich eine Nichtanhandnahmeverfügung (Urk. 3/1 = Urk. 5 = Urk. 12/4), welche am 18. Juli 2014 dem Vertreter des Beschwerdefüh- rers zuging (Urk. 12/6 Konvolut).</w:t>
      </w:r>
    </w:p>
    <w:p>
      <w:r>
        <w:rPr>
          <w:b/>
        </w:rPr>
        <w:t>E. 1.1</w:t>
      </w:r>
    </w:p>
    <w:p>
      <w:r>
        <w:t>Der vorliegend zu beurteilenden Beschwerde liegt zusammengefasst fol- gender Sachverhalt zu Grunde: Im Strafverfahren A-3/2014/208 beschuldigte die Beschwerdegegnerin 1 den Beschwerdeführer der Drohung, Nötigung und fal- schen Anschuldigung etc. In ihrer Strafanzeige vom 7. März 2014 offerierte sie für ihre Vorbringen die Einvernahme des Zeugen C._____, welcher den beanzeigten Vorfall vom 10. Juli 2012 mitbekommen habe. Im Vorfeld ihrer Strafanzeige kon- taktierte die Beschwerdegegnerin 1 C._____ und bat ihn um eine schriftliche Be- stätigung (per E-Mail) des Sachverhalts, was C._____ ablehnte. In der Folge wur- de er von der Staatsanwaltschaft als Zeuge einvernommen (vgl. Urk. 3/2 S. 2 und Urk. 12/1-3).</w:t>
      </w:r>
    </w:p>
    <w:p>
      <w:r>
        <w:rPr>
          <w:b/>
        </w:rPr>
        <w:t>E. 1.2</w:t>
      </w:r>
    </w:p>
    <w:p>
      <w:r>
        <w:t>Der Beschwerdeführer brachte in seiner Strafanzeige im Wesentlichen zu- sammengefasst vor, die Beschwerdegegnerin 1 habe am 6. März [recte: 5. März] 2014 ein E-Mail an C._____ geschickt und diesen so zu einem falschen Zeugnis anzustiften versucht. Das besagte E-Mail habe eine von der Beschwerdegegnerin 1 vorformulierte Zeugenaussage, in der Ich-Form formuliert, enthalten, welche C._____ gemäss dem Willen der Beschwerdegegnerin 1 anlässlich seiner Zeu- genbefragung durch die Staatsanwaltschaft hätte bestätigen sollen. Diese vorfor- mulierte Zeugenaussage habe jedoch offenkundig etliche unzutreffende Sachver- haltsdarstellungen sowie diverse Aspekte enthalten, die der Zeuge unmöglich so hätte bestätigen können: Da der Zeuge sich offenkundig nicht mehr daran habe erinnern können, dass die Beschwerdegegnerin 1 ihm den Namen des Be- schwerdeführers gesagt habe, sei es nicht zutreffend, dass die Beschwerdegeg- nerin 1 dem Zeugen diese Information mitgeteilt habe, weshalb der Zeuge dies auch nicht hätte bestätigen können. Weiter habe der Zeuge zwar bestätigt, dass die fragliche Konversation zwischen dem Beschwerdeführer und der Beschwer- degegnerin 1 etwas lauter gewesen sei. Von einem "Herumschreien" sei in der</w:t>
      </w:r>
    </w:p>
    <w:p>
      <w:r>
        <w:t>- 4 - Zeugeneinvernahme jedoch keine Rede gewesen. Auch habe der Zeuge nicht bestätigen können, dass die Beschwerdegegnerin 1 den Beschwerdeführer "ge- beten" habe, den Tisch/die Lounge/das Hotel sofort zu verlassen. Im Gegenteil sei es gemäss den Darstellungen des Zeugen vielmehr so gewesen, dass der Beschwerdeführer von sich aus, unaufgefordert, die Lounge resp. das Hotel ver- lassen habe, ohne dass er von irgendjemandem dazu gebeten worden wäre (Urk. 12/1). 2. Nach Art. 309 Abs. 1 lit. a StPO eröffnet die Staatsanwaltschaft eine Unter- suchung, wenn sich aus den Informationen und Berichten der Polizei, aus einer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der Untersuchung, sobald aufgrund der Strafanzeige oder des Polizeirapports fest- steht, dass die fraglichen Straftatbestände oder die Prozessvoraussetzungen ein- deutig nicht erfüllt sind (lit. a), wenn Verfahrenshindernisse bestehen (lit. b) oder wenn aus Gründen der Opportunität auf eine Strafverfolgung zu verzichten ist (lit. c i.V.m mit Art. 8 StPO). Die Frage, ob ein Strafverfahren durch die Strafver- folgungsbehörde über eine Nichtanhandnahme erledigt werden kann, beurteilt sich nach dem aus dem Legalitätsprinzip abgeleiteten Grundsatz "in dubio pro du- riore" (Art. 5 Abs. 1 BV und Art. 2 Abs. 1 StPO i.V.m. Art. 319 Abs. 1 und Art. 324 Abs. 1 StPO; BGE 138 IV 86 E. 4.2). Danach darf eine Nichtanhandnahme durch die Staatsanwaltschaft gestützt auf Art. 310 Abs. 1 lit. a StPO nur in sachver- haltsmässig und rechtlich klaren Fällen ergehen. Im Zweifelsfall, wenn die Nicht- anhandnahmegründe nicht mit Sicherheit gegeben sind, muss das Verfahren er- öffnet werden (vgl. BGE 137 IV 285 E. 2.3). Der Grundsatz "in dubio pro duriore" ist unter Würdigung der im Einzelfall gegebenen Umstände zu handhaben. Die Staatsanwaltschaft und die Beschwerdeinstanz verfügen insoweit über einen ge- wissen Spielraum (Urteil des Bundesgerichts 6B_717/2013 vom 7. März 2014 E. 2.1. mit weiteren Hinweisen).</w:t>
      </w:r>
    </w:p>
    <w:p>
      <w:r>
        <w:t>- 5 - 3. Die Staatsanwaltschaft begründete die Nichtanhandnahmeverfügung (Urk. 5) im Wesentlichen zusammengefasst wie folgt: Als die Beschwerdegegnerin 1 am 5. März 2014 den Zeugen angeschrieben habe, sei das Strafverfahren 2014/208 bei der Staatsanwaltschaft noch nicht er- öffnet gewesen, es sei noch nicht einmal die Strafanzeige, welche vom 7. März 2014 datiere, abgeschickt worden (Eingang bei der Oberstaatsanwaltschaft des Kantons Zürich am 11. März 2014). Die Beschwerdegegnerin 1 habe zu diesem Zeitpunkt nicht gewusst, dass C._____ von der Staatsanwaltschaft als Zeuge ein- vernommen werden würde. Daran ändere auch nichts, dass diese Einvernahme in der Anzeige beantragt worden sei, zumal es Sache der Untersuchungsbehörde sei, zu entscheiden, welche Beweismittel abgenommen würden. Ein allfälliger Vorsatz habe sich im E-Mail demnach unmöglich auf eine formelle untersu- chungsrichterliche Zeugeneinvernahme von C._____ beziehen können. Die Beschwerdegegnerin 1 habe im E-Mail lediglich um eine schriftliche Be- stätigung ersucht. Eine solche wäre jedoch weder von der Untersuchungsbehörde angeordnet gewesen, noch unter der Strafandrohung von Art. 308 StGB erstellt worden, weswegen Teilnahmerechte verletzt worden wären und der Bestätigung kein oder ein nur sehr geringer Beweiswert zugekommen wäre. Ein solches Ersu- chen um einen schriftlichen Bericht als Anstiftung zu falschem Zeugnis resp. als Versuch dazu zu werten, gehe definitiv zu weit. Die Behauptung des Beschwerdeführers, die Beschwerdegegnerin 1 habe C._____ aufgefordert, den Text in der E-Mail auswendig zu lernen und bei der Staatsanwaltschaft in der Zeugeneinvernahme entsprechend wiederzugeben, fin- de keine Stütze in den Akten; auch der Zeuge habe sich nicht dahingehend ge- äussert.</w:t>
      </w:r>
    </w:p>
    <w:p>
      <w:r>
        <w:rPr>
          <w:b/>
        </w:rPr>
        <w:t>E. 2</w:t>
      </w:r>
    </w:p>
    <w:p>
      <w:r>
        <w:t>Die Staatsanwaltschaft IV des Kantons Zürich sei dazu zu ver- pflichten, die Strafuntersuchung gegen B._____ betreffend ver- suchte Anstiftung zu falschem Zeugnis anhand zu nehmen;</w:t>
      </w:r>
    </w:p>
    <w:p>
      <w:r>
        <w:rPr>
          <w:b/>
        </w:rPr>
        <w:t>E. 3</w:t>
      </w:r>
    </w:p>
    <w:p>
      <w:r>
        <w:t>Mit Verfügung der Kammer vom 18. August 2014 wurde dem Beschwerde- führer eine Prozesskaution von Fr. 4'000.– auferlegt (Urk. 6), welche am 21. August 2014 geleistet wurde (Urk. 8). Mit Verfügung vom 1. September 2014 wurde die Beschwerdeschrift der Beschwerdegegnerin 1 sowie der Staatsanwalt- schaft zur (freigestellten) Stellungnahme und Einsendung der Akten übermittelt (Urk. 9). Die Staatsanwaltschaft erklärte am 8. September 2014 Verzicht auf Ver- nehmlassung (Urk. 11) und reichte die Untersuchungsakten ein (Urk. 12); die Be- schwerdegegnerin 1 reichte am 1. Oktober 2014 ihre Stellungnahme ein (Urk. 20). Am 21. Oktober 2014 erging die Replik des Beschwerdeführers (Urk. 23); die Be- schwerdegegnerin 1 reichte am 6. November 2014 ihre Duplik (Urk. 28) und der Beschwerdeführer am 1. Dezember 2014 eine weitere Stellungnahme (Urk. 34) ein.</w:t>
      </w:r>
    </w:p>
    <w:p>
      <w:r>
        <w:t>- 3 -</w:t>
      </w:r>
    </w:p>
    <w:p>
      <w:r>
        <w:rPr>
          <w:b/>
        </w:rPr>
        <w:t>E. 4</w:t>
      </w:r>
    </w:p>
    <w:p>
      <w:r>
        <w:t>Beide Parteien haben zum Teil weitschweifige Rechtschriften eingereicht. Nachfolgend ist nur soweit erforderlich, d.h. für die Entscheidfindung notwendig, auf deren Vorbringen einzugehen. II.</w:t>
      </w:r>
    </w:p>
    <w:p>
      <w:r>
        <w:rPr>
          <w:b/>
        </w:rPr>
        <w:t>E. 4.1</w:t>
      </w:r>
    </w:p>
    <w:p>
      <w:r>
        <w:t>Wer in einem gerichtlichen Verfahren als Zeuge, Sachverständiger, Über- setzer oder Dolmetscher zur Sache falsch aussagt, einen falschen Befund oder ein falsches Gutachten abgibt oder falsch übersetzt, wird gemäss Art. 307 Abs. 1 StGB bestraft.</w:t>
      </w:r>
    </w:p>
    <w:p>
      <w:r>
        <w:t>- 6 -</w:t>
      </w:r>
    </w:p>
    <w:p>
      <w:r>
        <w:rPr>
          <w:b/>
        </w:rPr>
        <w:t>E. 4.2</w:t>
      </w:r>
    </w:p>
    <w:p>
      <w:r>
        <w:t>Voraussetzung für die Bestrafung wegen falschen Zeugnisses ist die Falschheit der gemachten Aussage. Gemäss herrschender Lehre bestimmt sich die Falschheit der Aussage nicht nach dem subjektiven Massstab der Überzeu- gung des Täters, sondern nach dem objektiven Sachverhalt. Ob eine Aussage in- haltlich falsch ist, beurteilt sich aufgrund einer Gesamtwürdigung. Falsch sind auch unvollständige Aussagen, insbesondere wenn Weglassungen in erkennba- rer Weise einen verzerrten Sachverhalt oder eine unzutreffende Würdigung her- beiführen können (DELNON/RÜDY, in: NIGGLI/WIPRÄCHTIGER [Hrsg.], Basler Kom- mentar zum Strafrecht, 3. Aufl., Basel 2014, Art. 307 N 22 mit Verweis auf Art. 307 N 27 f.).</w:t>
      </w:r>
    </w:p>
    <w:p>
      <w:r>
        <w:rPr>
          <w:b/>
        </w:rPr>
        <w:t>E. 4.3</w:t>
      </w:r>
    </w:p>
    <w:p>
      <w:r>
        <w:t>In seiner Zeugenaussage vom 24. Juni 2014 – mithin fast zwei Jahre nach dem fraglichen Vorfall zwischen dem Beschwerdeführer und der Beschwerdegeg- nerin 1 – konnte C._____ einen Grossteil des von der Beschwerdegegnerin 1 an- gefragten Sachverhalts nicht bestätigen. Er gab zu Protokoll, dass er sich nicht mehr daran zu erinnern vermöge (Urk. 12/3 S. 4 ff.). Daraus kann, entgegen der Ansicht des Beschwerdeführers, indes nicht automatisch gefolgert werden, dass die Teile des Sachverhalts, an welche sich der Zeuge nicht mehr erinnern konnte, objektiv falsch sind. Objektive Anhaltspunkte, wonach der Sachverhalt, wie er im E-Mail vom</w:t>
      </w:r>
    </w:p>
    <w:p>
      <w:r>
        <w:rPr>
          <w:b/>
        </w:rPr>
        <w:t>E. 5</w:t>
      </w:r>
    </w:p>
    <w:p>
      <w:r>
        <w:t>Zusammenfassend ist festzuhalten, dass keine Anhaltspunkte dafür vorlie- gen, dass die fragliche Sachverhaltsbestätigung im E-Mail vom 5. März 2014 un- wahr ist. Es fehlt damit klarerweise an einem objektiven Tatbestandselement von Art. 307 StGB. Unter diesen Umständen ist der Erlass der Nichtanhandnahmever- fügung der Staatsanwaltschaft nicht zu beanstanden. Die Beschwerde ist abzu- weisen. Nur der Klarheit halber ist jedoch festzuhalten, dass damit keine Wertung erfolgt, ob der rechtsgenügende Beweis für die Behauptungen im fraglichen E- Mail und die geltend gemachte Verhaltensweise des Beschwerdeführers erbracht ist. Darüber ist im entsprechenden Strafverfahren gegen den Beschwerdeführer zu befinden. III. 1. Bei diesem Ausgang des Verfahrens hat der Beschwerdeführer die Kosten zu tragen (Art. 428 Abs. 1 StPO). Angesichts der Bedeutung und Schwierigkeit des Falls sowie des Zeitaufwands des Gerichts ist die Gerichtsgebühr für das Be- schwerdeverfahren auf Fr. 1'200.– festzusetzen (§ 17 Abs. 1 und § 2 Abs. 1 GebV OG) und mit der geleisteten Kaution zu verrechnen (Art. 383 Abs. 1 StPO). 2. Der Beschwerdegegnerin 1 ist eine Prozessentschädigung zuzusprechen. Ihr Vertreter macht eine Entschädigung in der Höhe von Fr. 5'000.–, zzgl. 8 % MwSt., geltend (Urk. 28 S. 2). Zur Begründung führt er aus, es sei mit der Be- schwerdegegnerin 1 ein Stundenansatz von Fr. 350.– vereinbart worden und im Beschwerdeverfahren sei neben der Beschwerdeantwort eine Duplik zu erstatten gewesen. Überdies hätten die Strafakten studiert werden müssen, da diese der Beschwerdegegnerin 1 bzw. deren Vertretern bislang nicht bekannt gewesen sei- en (vgl. Urk. 20). Die Entschädigung richtet sich nach der Anwaltsgebührenverordnung (§§ 2, 3 und 19 AnwGebV). Der geltend gemachte Stundenaufwand sowie der Stunden- ansatz wurden dargelegt und erscheinen gerade noch als zulässig. Überdies wur-</w:t>
      </w:r>
    </w:p>
    <w:p>
      <w:r>
        <w:t>- 10 - de die geltend gemachte Prozessentschädigung vom Beschwerdeführer nicht be- stritten. Insgesamt erweist sich eine Entschädigung der Beschwerdegegnerin 1 für ihre Aufwendungen im Beschwerdeverfahren von Fr. 5'000.–, zzgl. 8 % MwSt., mithin Fr. 5'400.–, als angemessen und entspricht §§ 2, 3 und 19 AnwGebV. Die- se ist im Umfang von Fr. 3'800.– aus der vom Beschwerdeführer geleisteten Kau- tion zu beziehen (Art. 383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