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UE140019 vom 12. Januar 2015</w:t>
      </w:r>
    </w:p>
    <w:p>
      <w:r>
        <w:t>ZH Obergericht, 2015-01-12, DE</w:t>
      </w:r>
    </w:p>
    <w:p>
      <w:r>
        <w:rPr>
          <w:b/>
        </w:rPr>
        <w:t xml:space="preserve">Quelle: </w:t>
      </w:r>
      <w:r>
        <w:t>https://mcp.opencaselaw.ch/entscheid/zh_obergericht_UE140019</w:t>
      </w:r>
    </w:p>
    <w:p>
      <w:r>
        <w:t>FR: ZH_OBERGERICHT UE140019 du 12 janvier 2015</w:t>
      </w:r>
    </w:p>
    <w:p>
      <w:r>
        <w:t>IT: ZH_OBERGERICHT UE140019 del 12 gennaio 2015</w:t>
      </w:r>
    </w:p>
    <w:p>
      <w:pPr>
        <w:pStyle w:val="Heading2"/>
      </w:pPr>
      <w:r>
        <w:t>Erwägungen</w:t>
      </w:r>
    </w:p>
    <w:p>
      <w:r>
        <w:rPr>
          <w:b/>
        </w:rPr>
        <w:t>E. 1</w:t>
      </w:r>
    </w:p>
    <w:p>
      <w:r>
        <w:t>Die Staatsanwaltschaft Zürich-Limmat (nachfolgend: Staatsanwaltschaft) führt eine Strafuntersuchung wegen Körperverletzung etc. gegen B._____ (nach- folgend: Beschwerdegegner) zum Nachteil von A._____ (nachfolgend: Beschwer- deführerin; Urk. 8). Mit Verfügung vom 15. Januar 2014 stellte die Staatsanwalt- schaft das Strafverfahren hinsichtlich eines der dem Beschwerdegegner zur Last gelegten Delikte, nämlich wegen schwerer Körperverletzung, ein (Urk. 3/3 = Urk.</w:t>
      </w:r>
    </w:p>
    <w:p>
      <w:r>
        <w:rPr>
          <w:b/>
        </w:rPr>
        <w:t>E. 5</w:t>
      </w:r>
    </w:p>
    <w:p>
      <w:r>
        <w:t>Die Beschwerdeführerin und der Beschwerdegegner waren ca. ab Dezem- ber 2009 ein Paar (Urk. 9 S. 3, Urk. 8/HD 7/1 S. 1). Die Beschwerdeführerin machte geltend, seither vom Beschwerdegegner psychisch, körperlich und sexuell drangsaliert worden zu sein, was ursächlich für ihre jetzigen Beschwerden sei (Urk. 2 S. 4). In ihrer Beschwerdeschrift spezifizierte die Beschwerdeführerin nicht, worin die ihr zugefügte schwere Körperverletzung bestehen sollte (Urk. 2). Auch in ihrer Stellungnahme hielt sie lediglich fest, es seien während der Bezie-</w:t>
      </w:r>
    </w:p>
    <w:p>
      <w:r>
        <w:t>- 7 - hung neue Diagnosen hinzugekommen und bestehende Krankheitsbilder hätten sich akzentuiert (Urk. 12 S. 2). Im Vorverfahren machte sie ebenso nur pauschal geltend, dass der Beschwerdegegner jahrelang jegliche Aspekte ihrer Integrität verletzt habe, weshalb eine schwere Körperverletzung vorliege (Urk. 8/HD 30/7 S. 5). Auch aus ihrem bei der Staatsanwaltschaft gestellten Beweisantrag betref- fend Einholung eines Gutachtens ergeben sich keine näheren Angaben. So führte sie einzig aus, an gravierenden körperlichen und psychischen Beschwerden zu leiden (Urk. 8/HD 24 S. 2). Aus den Akten ergeben sich keine Hinweise darauf, dass die Beschwerdeführerin schwere physische Schäden im Sinne von Art. 122 StGB durch die vom Be- schwerdegegner bestrittenen Taten davon getragen hat. Insbesondere ist akten- kundig, dass die Alkoholabhängigkeit, die Methadonabhängigkeit sowie die Hepa- titis C-Erkrankung schon vor der Beziehung zum Beschwerdegegner bestanden haben, weshalb offen bleiben kann, ob diese Erkrankungen unter Art. 122 StGB subsumiert werden könnten. Was die psychischen Beschwerden anbelangt, so geht aus den Akten hervor, dass die Beschwerdeführerin bereits vor der Bezie- hung mit dem Beschwerdegegner in psychologischer Betreuung stand und bereits zum Zeitpunkt des Kennenlernens des Beschwerdegegners sechs Mal im Psychi- atrie-Zentrum … hospitalisiert war. Ebenso wurden ihre Kinder offenbar bereits im Jahr 2007 fremdplatziert (siehe E. II. 4.). Aus den Akten ergeben sich keinerlei Anhaltspunkte dafür, dass die vorliegenden psychischen Beschwerden resp. die geltend gemachte Verschlimmerung derselben auf das Verhalten des Beschwer- degegners zurückzuführen sind. Soweit die Beschwerdeführerin diesbezüglich geltend machte, lediglich ein Fachmann könne dies beurteilen, so ist vor dem Hin- tergrund obiger Ausführungen in Übereinstimmung mit der Staatsanwaltschaft (Urk. 7 S. 1) festzuhalten, dass von einem Gutachten keine Erkenntnisse zu er- warten wären, die einen Zusammenhang zwischen einer allfälligen Verschlimme- rung bestehender psychischer Erkrankungen oder neuen psychischen Erkran- kungen und den vom Beschwerdegegner bestrittenen Taten in anklagegenügen- der Weise nachzuweisen vermöchten. Es kann daher offen gelassen werden, ob diese überhaupt den gemäss Art. 122 StGB geforderten Schweregrad aufweisen und ob dies vom Beschwerdegegner mit Wissen und Willen, mithin vorsätzlich</w:t>
      </w:r>
    </w:p>
    <w:p>
      <w:r>
        <w:t>- 8 - verursacht wurde. Zusammenfassend war die Einstellung des Strafverfahrens be- treffend schwere Körperverletzung durch die Staatsanwaltschaft gerechtfertigt. III. Die Beschwerdeführerin unterliegt im Beschwerdeverfahren, weshalb sie grund- sätzlich die Kosten des Beschwerdeverfahrens zu tragen hätte (Art. 428 Abs. 1 StPO). Ihr wurde jedoch im Vorverfahren die unentgeltliche Rechtspflege gewährt und ein unentgeltlicher Rechtsvertreter beigegeben (Urk. 8/HD 30/4), was praxis- gemäss auch für das Beschwerdeverfahren gilt. Aus diesem Grund ist auf die von der Beschwerdeführerin im Beschwerdeverfahren erneut gestellten Anträge be- treffend Gewährung der unentgeltlichen Rechtspflege auch nicht weiter einzuge- hen. Die unentgeltliche Rechtspflege umfasst die Befreiung von Verfahrenskosten (Art. 136 Abs. 2 lit. b StPO). Nebst den Gebühren für die Deckung des Aufwands stellen insbesondere die Kosten für die amtliche Verteidigung und unentgeltliche Verbeiständung Verfahrenskosten dar (Art. 422 Abs. 2 lit. a StPO). Die Kosten des Beschwerdeverfahrens, inklusive derjenigen der unentgeltlichen Rechtsver- tretung der Beschwerdeführerin sowie der amtlichen Verteidigung des Beschwer- degegners, sind daher auf die Staatskasse zu nehmen. Die Entschädigung der unentgeltlichen Rechtsvertretung sowie der amtlichen Verteidigung für ihre im Be- schwerdeverfahren getätigten Aufwendungen wird durch die das gesamte Straf- verfahren abschliessende Behörde festzusetzen sein (Art. 135 Abs. 2 StPO i.V.m. Art. 138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