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UE130106 vom 27. August 2013</w:t>
      </w:r>
    </w:p>
    <w:p>
      <w:r>
        <w:t>ZH Obergericht, 2013-08-27, DE</w:t>
      </w:r>
    </w:p>
    <w:p>
      <w:r>
        <w:rPr>
          <w:b/>
        </w:rPr>
        <w:t xml:space="preserve">Quelle: </w:t>
      </w:r>
      <w:r>
        <w:t>https://mcp.opencaselaw.ch/entscheid/zh_obergericht_UE130106</w:t>
      </w:r>
    </w:p>
    <w:p>
      <w:r>
        <w:t>FR: ZH_OBERGERICHT UE130106 du 27 août 2013</w:t>
      </w:r>
    </w:p>
    <w:p>
      <w:r>
        <w:t>IT: ZH_OBERGERICHT UE130106 del 27 agosto 2013</w:t>
      </w:r>
    </w:p>
    <w:p>
      <w:pPr>
        <w:pStyle w:val="Heading2"/>
      </w:pPr>
      <w:r>
        <w:t>Erwägungen</w:t>
      </w:r>
    </w:p>
    <w:p>
      <w:r>
        <w:rPr>
          <w:b/>
        </w:rPr>
        <w:t>E. 1</w:t>
      </w:r>
    </w:p>
    <w:p>
      <w:r>
        <w:t>Die E._____ AG [nachfolgend: E._____] versteht sich gemäss ihrer Website als Spezialistin für alternative Anlagen in Rohstoffmärkten Urk. 12/4/2). A._____ (Be- schwerdeführer) stellte der E._____ auf einem Bereitschaftskonto USD 50'000.-- zum Handel mit Optionen zur Verfügung (vgl. Auftragsbestätigung vom 27. Feb- ruar 2007, Urk. 12/4/4). Mit Schreiben vom 27. Februar 2007 an den Beschwerde- führer bestätigte die E._____, dass Neuankäufe nur nach Absprache mit ihm und nach erfolgter schriftlicher Auftragsbestätigung getätigt würden (Urk. 4/5). In der Folge wurden für die USD 50'000.-- 60 Goldoptionen gekauft, wobei die E._____ dafür unter dem Titel Kommissionen USD 11'400.-- verrechnete. Zwischen dem Beschwerdeführer und der E._____ ist streitig, ob die E._____ dabei korrekt vor- gegangen sei und ob die rechtsgenügende Einwilligung des Beschwerdeführers zu diesem Geschäft vorlag. Der Beschwerdeführer liess in diesem Zusammen- hang mit Schreiben seines damaligen Rechtsvertreters vom 10. November 2007 beim Detektivposten Zürich-… Anzeige gegen die Verantwortlichen der E._____, namentlich gegen B._____, C._____ und D._____ (Beschwerdegegner 1 - 3) so- wie gegen F._____ und G._____ wegen Veruntreuung, ungetreuer Geschäftsbe- sorgung und Betrug erheben (Urk. 12/2). Nach durchgeführter Untersuchung stellte die Staatsanwaltschaft I des Kantons Zürich das Strafverfahren gegen die fünf Beschuldigten mit Verfügung vom 19. März 2013 mangels strafbaren Verhaltens ein (Urk. 6). Der Beschwerdeführer er- hob mit Eingabe vom 10. April 2013 bei der hiesigen Kammer Beschwerde mit dem Antrag, "dass dieser Fall richtig untersucht wird", also sinngemäss auf Auf- hebung der Einstellungsverfügung. In seiner Beschwerdeschrift nannte er als Be- schuldigte lediglich B._____, C._____ und D._____ (Beschwerdegegner 1 - 3), nicht aber die ursprünglichen Mitbeschuldigten F._____ und G._____ (Urk. 3 S. 1). Der Beschwerdegegner 3 beantragte mit Eingabe vom 23. Mai 2013 die Ab- weisung der Beschwerde (Urk.10). Die Staatsanwaltschaft hielt mit Eingabe vom 21. Mai 2013 fest, der Beschwerdeführer habe nichts vorgebracht, was in der an- gefochtenen Verfügung nicht schon abgehandelt worden sei, und verzichtete da- her auf eine Vernehmlassung (Urk. 13). Der Beschwerdegegner 2 liess sich innert</w:t>
      </w:r>
    </w:p>
    <w:p>
      <w:r>
        <w:t>- 3 - Frist nicht vernehmen. Da die weiteren Personalien des Beschwerdegegners 1 und insbesondere seine Adresse nicht bekannt sind, konnte ihm die Verfügung des Kammerpräsidenten vom 13. Mai 2013, womit auch ihm Frist zur Stellung- nahme angesetzt wurde (Urk. 7), nicht zugestellt werden. Der Beschwerdeführer hielt in seiner Replik vom 24. Juni 2013 sinngemäss an seinem Standpunkt fest (Urk. 15).</w:t>
      </w:r>
    </w:p>
    <w:p>
      <w:r>
        <w:rPr>
          <w:b/>
        </w:rPr>
        <w:t>E. 2</w:t>
      </w:r>
    </w:p>
    <w:p>
      <w:r>
        <w:t>Die Staatsanwaltschaft hält fest, aus der polizeilichen Einvernahme des Be- schwerdeführers vom 15. Juli 2008 (Urk. 12/9) ergebe sich zusammengefasst, dass dieser direkt und persönlich nur mit dem Beschwerdegegner 1 Kontakt ge- habt habe (S. 2 Frage 5 und S. 6 Fragen 22, 23 und 26) und ihm das Wesen von Optionen aus früheren Geschäften, aus denen einmal ein bescheidener Gewinn und das andere Mal ein nicht substantieller Verlust resultiert hätten, bekannt ge- wesen sei. Nach seinen Ausführungen habe die E._____ davon Kenntnis gehabt (S. 2 Frage 6). Seine weiteren Aussagen zeigten, dass sich der Anzeiger auch der Belastung von USD 190.-- je Kaufs- und Verkaufstransaktion bewusst gewe- sen sei. So habe er dazu ausgesagt: "…. fragte ich Herrn B._____, wie viele Op- tionen man dann mit USD 50'000.-- kaufe. Er sagte mir ca. 30 bis 40. Dann fragte ich ihn, ob das dann 30 bis 40 mal die USD 190 seien. Er antwortete "Ja", …." (S.</w:t>
      </w:r>
    </w:p>
    <w:p>
      <w:r>
        <w:rPr>
          <w:b/>
        </w:rPr>
        <w:t>E. 4</w:t>
      </w:r>
    </w:p>
    <w:p>
      <w:r>
        <w:t>Gegenstand der Strafuntersuchung waren die konkreten Handlungen oder Un- terlassungen der Angestellten der E._____ gegenüber dem Beschwerdeführer und nicht allgemein die Geschäftspraktiken der E._____. Die Staatsanwaltschaft hatte daher nicht über den Einzelfall des Beschwerdeführer hinaus gehende Un- tersuchungen zu den Geschäftspraktiken der E._____ vorzunehmen. Nicht Gegenstand des vorliegenden Beschwerdeverfahrens ist die Art und Weise der Kommunikation zwischen dem Beschwerdeführer und der Staatsanwaltschaft. Dasselbe gilt für die Bemühungen von Angestellten der E._____, den Beschwer- deführer wiederum als Kunden zu gewinnen. Die Staatsanwaltschaft gibt im Wortlaut die Antwort des Beschwerdeführers auf die ihm in der polizeilichen Einvernahme gestellte Frage, ob es möglich sei, dass der Beschwerdegegner 1 das fragliche Telefongespräch so verstanden habe,</w:t>
      </w:r>
    </w:p>
    <w:p>
      <w:r>
        <w:t>- 7 - dass entgegen der schriftlichen Abmachungen in diesem Fall keine Auftragsbe- stätigung per Fax gewünscht sei, wieder: "Ich sagte ihm ausdrücklich, ich will so nicht, nicht so schnell. Allenfalls mit anderen Worten, aber sicher mit diesem Sinn." (Urk. S. 7 Frage 31; Urk. 6 S. 4 Erw. I/6 am Ende). Sie hält dafür, damit sei der Beschwerdeführer unklar geblieben und habe insbesondere dem Beschwer- degegner weder die sofortige Vornahme der Transaktion untersagt, noch ihn un- missverständlich darauf hingewiesen, dass jede Transaktion vor ihrer Ausführung der schriftlichen Genehmigung durch den Beschwerdeführer bedürfe (Urk. 6 S. 6 Erw. II/3). Der Beschwerdeführer war offenbar nicht in der Lage, die Frage des Polizeibeamten mit einem klaren Nein zu beantworten und zumindest den unge- fähren Wortlaut seiner Erklärung gegenüber dem Beschwerdegegner 1, er wolle die von diesem vorgeschlagene Transaktion nicht oder er werde eine allfällige Zustimmung zum Geschäft nicht mündlich, sondern nur der Vereinbarung gemäss schriftlich erteilen, wiederzugeben. Damit kann nicht ausgeschlossen werden, dass der Beschwerdegegner 1 das Verhalten des Beschwerdeführers im Ge- spräch als anfängliches Zögern verstand, jedoch den Eindruck hatte (möglicher- weise auch auf Grund der dem Beschwerdeführer aufgezeigten Dringlichkeit des konkreten Geschäfts), dass dieser letztlich nicht opponierte bzw. die Zustimmung mündlich erteilte. Zutreffend weist die Staatsanwaltschaft darauf hin, dass das Fehlen eines Straftatbestandes nicht ausschliesst, dass es zu zivilrechtlichen Dif- ferenzen zwischen dem Beschwerdeführer und dem Beschwerdegegner 1 bzw. der E._____ gekommen sei. Zur Geltendmachung zivilrechtlicher Forderungen steht dem Beschwerdeführer auch nach Einstellung der Strafuntersuchung der Weg des Zivilprozesses offen. Zusammenfassend ist die Einstellung der Strafuntersuchung nicht zu beanstan- den und entsprechend die Beschwerde abzuweisen.</w:t>
      </w:r>
    </w:p>
    <w:p>
      <w:r>
        <w:rPr>
          <w:b/>
        </w:rPr>
        <w:t>E. 5</w:t>
      </w:r>
    </w:p>
    <w:p>
      <w:r>
        <w:t>Der Beschwerdeführer unterliegt im Beschwerdeverfahren, weshalb ihm die Kosten aufzuerlegen sind (Art. 428 Abs. 1 StPO). Die Gerichtsgebühr ist in Be- rücksichtigung von Bedeutung, Aufwand und Schwierigkeit des Falles auf Fr. 600.-- festzusetzen (§ 17 Abs. 1 i.V.m. § 2 Abs. 1 der Gebührenverordnung des Obergerichts vom 8. September 2010).</w:t>
      </w:r>
    </w:p>
    <w:p>
      <w:r>
        <w:t>- 8 - Der Beschwerdegegner 3 liess die Beschwerde durch seinen erbetenen Verteidi- ger beantworten (Urk. 10). Der Beschwerdeführer ist demnach zur Leistung einer Prozessentschädigung an den Beschwerdegegner 3 zu verpflichten (Art. 436 Abs. 1 StPO in Verbindung mit Art. 432 Abs. 1 StPO). Die Höhe der Entschädigung bemisst sich nach § 19 Abs. 1 AnwGebV. In Anwendung dieser Bestimmung er- scheint eine Entschädigung von Fr. 800.-- (zuzüglich 8% Mehrwertsteuer = Fr. 64.--) als angemessen. Die Beschwerdegegner 1 und 2 liessen sich im Beschwerdeverfahren nicht ver- nehmen, weshalb ihnen mangels erheblicher Umtriebe keine Prozessentschädi- 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