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UE130102 vom 1. Oktober 2013</w:t>
      </w:r>
    </w:p>
    <w:p>
      <w:r>
        <w:t>ZH Obergericht, 2013-10-01, DE</w:t>
      </w:r>
    </w:p>
    <w:p>
      <w:r>
        <w:rPr>
          <w:b/>
        </w:rPr>
        <w:t xml:space="preserve">Quelle: </w:t>
      </w:r>
      <w:r>
        <w:t>https://mcp.opencaselaw.ch/entscheid/zh_obergericht_UE130102</w:t>
      </w:r>
    </w:p>
    <w:p>
      <w:r>
        <w:t>FR: ZH_OBERGERICHT UE130102 du 1 octobre 2013</w:t>
      </w:r>
    </w:p>
    <w:p>
      <w:r>
        <w:t>IT: ZH_OBERGERICHT UE130102 del 1 ottobre 2013</w:t>
      </w:r>
    </w:p>
    <w:p>
      <w:pPr>
        <w:pStyle w:val="Heading2"/>
      </w:pPr>
      <w:r>
        <w:t>Erwägungen</w:t>
      </w:r>
    </w:p>
    <w:p>
      <w:r>
        <w:rPr>
          <w:b/>
        </w:rPr>
        <w:t>E. 1</w:t>
      </w:r>
    </w:p>
    <w:p>
      <w:r>
        <w:t>A._____ (Beschwerdeführerin) erstattete am 1. März 2011 bei der Kan- tonspolizei Zürich Strafanzeige gegen ihren Ehemann, B._____ (Beschwerde- gegner 1), wegen Nötigung (Urk. 9/1 S. 1 ff.). Die Beschwerdeführerin wurde da- raufhin am 4. März 2011 polizeilich einvernommen (Urk. 9/3/1), der Beschwerde- gegner 1 am 16. März 2011 (Urk.9/2/1). Am 24. März 2011 rapportierte die Kan- tonspolizei Zürich an die Staatsanwaltschaft See/Oberland (Beschwerdegegnerin 2) (Urk. 9/1). Diese stellte das Verfahren mit Verfügung vom 2. April 2013 (Urk. 5) ein.</w:t>
      </w:r>
    </w:p>
    <w:p>
      <w:r>
        <w:rPr>
          <w:b/>
        </w:rPr>
        <w:t>E. 2</w:t>
      </w:r>
    </w:p>
    <w:p>
      <w:r>
        <w:t>die Sache sei an die Staatsanwaltschaft See/Oberland zurückzu- weisen;</w:t>
      </w:r>
    </w:p>
    <w:p>
      <w:r>
        <w:rPr>
          <w:b/>
        </w:rPr>
        <w:t>E. 3</w:t>
      </w:r>
    </w:p>
    <w:p>
      <w:r>
        <w:t>die Staatsanwaltschaft See/Oberland sei anzuweisen, gegen den Beschuldigten Anklage zu erheben;</w:t>
      </w:r>
    </w:p>
    <w:p>
      <w:r>
        <w:rPr>
          <w:b/>
        </w:rPr>
        <w:t>E. 3.1</w:t>
      </w:r>
    </w:p>
    <w:p>
      <w:r>
        <w:t>Die Beschwerdegegnerin 2 erkannte in der angefochtenen Verfügung (Urk. 5) im Wesentlichen zusammengefasst, der Beschwerdegegner 1 habe von Beginn anerkannt, am 28. Februar 2011 das Türschloss an der fraglichen Liegen- schaft ausgewechselt zu haben, damit seine Ehefrau das Haus nicht mehr habe eigenmächtig betreten können. Hingegen könne nicht anklagegenügend widerlegt werden, dass er subjektiv davon ausgegangen sei, die Beschwerdeführerin habe ihren Lebensmittelpunkt bereits nach E._____, in die Wohnung oberhalb des Res- taurants F._____ [Anmerkung: dabei handelt es sich um den Pachtbetrieb der Beschwerdeführerin, vgl. Urk. 9/3/2 S. 2] verlegt und er damit subjektiv davon ausgegangen sei, er sei berechtigt, ihr den freien Zugang zum Haus in D._____ zu verwehren. Sei der Beschwerdegegner 1 davon ausgegangen, die Beschwer- deführerin wohne und lebe mehrheitlich in ihrer Wohnung in E._____, habe er subjektiv weder einen rechtswidrigen Zweck verfolgt noch ein rechtswidriges Mit- tel angewandt, um ihr den Zugang zum Haus zu verwehren und somit nicht tatbe- standsmässig gehandelt. Nicht restlos und somit anklagegenügend habe durch die Untersuchung geklärt werden können, ob die Beschwerdeführerin ihren Le- bensmittelpunkt auch bereits nach E._____ verlegt habe. Die Aussagen der Betei- ligten widersprächen sich diesbezüglich und weder die Beschwerdeführerin noch</w:t>
      </w:r>
    </w:p>
    <w:p>
      <w:r>
        <w:t>- 5 - der Beschwerdegegner 1 hätten mit ihren Aussagen diesbezüglich zu überzeugen vermögen (Urk. 5 S. 2 und 5 f.).</w:t>
      </w:r>
    </w:p>
    <w:p>
      <w:r>
        <w:rPr>
          <w:b/>
        </w:rPr>
        <w:t>E. 3.2</w:t>
      </w:r>
    </w:p>
    <w:p>
      <w:r>
        <w:t>Die Beschwerdeführerin argumentiert dagegen im Wesentlichen, das Recht an der ehelichen Wohnung stehe beiden Eheleuten unbesehen der Eigen- tumsverhältnisse gleichermassen zu, die Trennung von Tisch und Bett führe nicht zur Aufhebung des gemeinsamen Haushaltes. Sie hätten keine Trennungsverein- barung getroffen. Sie, die Beschwerdeführerin, habe am 23. Februar 2011 beim Bezirksgericht Pfäffikon Eheschutzmassnahmen unter Zuteilung der Wohnung an sie beantragt, dies sei dem Anwalt des Beschwerdegegners 1 zur Kenntnis ge- bracht worden. Es sei schlicht unverständlich, dass die Staatsanwaltschaft dem Beschwerdegegner 1 zubillige, es könne ihm nicht widerlegt werden, dass er sub- jektiv davon ausgegangen sei, die Beschwerdeführerin habe ihren Lebensmittel- punkt bereits nach E._____ verlegt und er sei berechtigt, ihr den freien Zugang zu verwehren. Es gehe nicht an, die Streitfrage der Wohnungszuteilung während ei- nes diesbezüglich hängigen Gerichtsverfahrens selbstherrlich unter Beizug eines Schlossers zu erledigen. Auch bei allfälligen, hier nicht nachvollziehbaren Zwei- feln dürfe der Staatsanwalt das Verfahren nicht einstellen. Nach durchgeführter Untersuchung sei in Zweifelsfällen beweismässiger und rechtlicher Art Anklage zu erheben. Es gelte in diesem Verfahrensstadium nicht in dubio pro reo, sondern in dubio pro duriore (Urk. 2).</w:t>
      </w:r>
    </w:p>
    <w:p>
      <w:r>
        <w:rPr>
          <w:b/>
        </w:rPr>
        <w:t>E. 3.3</w:t>
      </w:r>
    </w:p>
    <w:p>
      <w:r>
        <w:t>Dem hält die Beschwerdegegnerin 2 entgegen, es sei entscheidend, dass die Beschwerdeführerin im strittigen Zeitpunkt offenbar daran gewesen sei, ihre Effekten aus dem Haus in D._____ in die Wohnung in E._____ zu verschie- ben und damit beim Beschwerdegegner 1 den Eindruck erweckt habe, ihren Le- bensmittelpunkt bereits nach E._____ verlegt zu haben. Es könne dem Be- schwerdegegner 1 deshalb nicht widerlegt werden, dass er in subjektiver Hinsicht davon ausgegangen sei, er dürfe ihr den Zugang zum bisherigen gemeinsamen Wohnsitz verwehren (Urk. 7).</w:t>
      </w:r>
    </w:p>
    <w:p>
      <w:r>
        <w:t>- 6 -</w:t>
      </w:r>
    </w:p>
    <w:p>
      <w:r>
        <w:rPr>
          <w:b/>
        </w:rPr>
        <w:t>E. 3.4</w:t>
      </w:r>
    </w:p>
    <w:p>
      <w:r>
        <w:t>Der Beschwerdegegner 1 nahm zur Beschwerde im Wesentlichen wie folgt Stellung (Urk. 10): Der Hinweis der Beschwerdeführerin auf das Fehlen einer Trennungsver- einbarung, auf die gerichtliche Kompetenz der Regelung der Nutzung der eheli- chen Wohnung sowie auf den gerichtlichen Antrag vom 23. Februar 2011 sei irre- levant. Er sei der Ansicht gewesen, die Beschwerdeführerin habe das eheliche Haus seit Dezember 2010 nicht mehr genutzt. Folgerichtig sei weder anklagege- nügend der Lebensmittelpunkt der Beschwerdeführerin für die Monate Januar und Februar 2011 in D._____ nachgewiesen, geschweige denn behauptet oder mit Beweismittel untermauert, noch sei ihm nachweisbar, dass er selber davon aus- gegangen wäre, dass die Beschwerdeführerin ihren Lebensmittelpunkt in diesen beiden Monaten Januar und Februar 2011 noch im gemeinsamen Haus in D._____ gehabt hätte. Überdies habe die Beschwerdeführerin am 28. Februar 2011 das Haus gar nicht betreten wollen und seither auch keine Anstalten getrof- fen, das Haus nochmals zu betreten. Die Vorsprache beim Beschwerdegegner 1 am fraglichen Datum habe lediglich den Zweck gehabt, zu bestätigen, dass die Schlösser gewechselt seien, nicht aber, um das Haus zu betreten, dort zu verwei- len und zu übernachten. Die Schlüsselauswechslung sei irrelevant gewesen, da die Beschwerdeführerin gar nicht den Willen gehabt habe, das Haus zu betreten und dort zu wohnen, ihre Entscheidungsfreiheit sei dadurch nicht tangiert gewe- sen (Urk. 10).</w:t>
      </w:r>
    </w:p>
    <w:p>
      <w:r>
        <w:rPr>
          <w:b/>
        </w:rPr>
        <w:t>E. 3.5</w:t>
      </w:r>
    </w:p>
    <w:p>
      <w:r>
        <w:t>Replicando wies die Beschwerdeführerin auf ihr uneingeschränktes Recht auf Benutzung der ehelichen Liegenschaft hin und zitierte mehrere Aussa- gen des Beschwerdegegners 1 gegenüber der einvernehmenden Assistenz- Staatsanwältin, wonach ihm dies klar gewesen sei und auch, dass sie noch in der Liegenschaft D._____ wohne und weiter wohnen wollte. Schliesslich konstatiert sie unter Hinweis auf den Schlussvorhalt seitens der Staatsanwaltschaft, dass der Beschwerdegegner 1 den Sachverhalt in den wesentlichen Zügen anerkannt habe (Urk. 16 S. 2 ff.).</w:t>
      </w:r>
    </w:p>
    <w:p>
      <w:r>
        <w:rPr>
          <w:b/>
        </w:rPr>
        <w:t>E. 3.6</w:t>
      </w:r>
    </w:p>
    <w:p>
      <w:r>
        <w:t>Soweit erforderlich, d.h. für die Entscheidfindung notwendig, ist nach- folgend auf die Ausführungen der Parteien näher einzugehen.</w:t>
      </w:r>
    </w:p>
    <w:p>
      <w:r>
        <w:t>- 7 -</w:t>
      </w:r>
    </w:p>
    <w:p>
      <w:r>
        <w:rPr>
          <w:b/>
        </w:rPr>
        <w:t>E. 4</w:t>
      </w:r>
    </w:p>
    <w:p>
      <w:r>
        <w:t>es sei die Geschädigte für die ihr entstandenen Aufwendungen mit Fr. 5'391.35 zu entschädigen; unter Kosten- und Entschädigungsfolgen zuzüglich MWST zulasten des Beschuldigten." Die Staatsanwaltschaft See/Oberland liess sich mit Eingabe vom 30. April 2013 (Urk. 7) dazu vernehmen, der Beschwerdegegner 1 mit Eingabe vom 8. Mai 2013 (Urk. 10). Beide beantragen die Abweisung der Beschwerde. Die Be- schwerdeführerin replizierte hernach mit Eingabe vom 31. Mai 2013 (Urk. 16). Weitere Stellungnahmen folgten nicht (vgl. Urk. 18, 19 und 21). Das Verfahren erweist sich nunmehr als spruchreif.</w:t>
      </w:r>
    </w:p>
    <w:p>
      <w:r>
        <w:t>- 3 - II. 1. Die Beschwerdeführerin wirft dem Beschwerdegegner 1, ihrem (dama- ligen) Ehemann, in dem der angefochtenen Verfügung (Urk. 5) zugrundeliegen- den Strafverfahren im Wesentlichen vor, er habe am 28. Februar 2011 ohne ihre Einwilligung bei der ehelichen Liegenschaft C._____strasse ... in D._____ das Schloss an der Eingangstüre ausgewechselt, ohne ihr einen entsprechenden Schlüssel zu übergeben, und ihr somit den Zutritt verhindert, obwohl sie dort noch wohnhaft gewesen sei (Urk. 5, 9/1 und 9/3/1). 2. Gemäss Art. 308 Abs. 1 StPO besteht der Zweck der Untersuchung darin, den Sachverhalt in tatsächlicher und rechtlicher Hinsicht so weit abzuklä- ren, dass das Vorverfahren abgeschlossen werden kann. Bei der Verfolgung die- ses Zwecks steht der Staatsanwaltschaft ein gewisser Ermessensspielraum zu. Insbesondere hat sie diejenigen Vorkehrungen zu treffen, die zur Klärung des Fal- les Wesentliches beizutragen vermögen. Sie ist aber nicht verpflichtet, alle er- denklichen Ermittlungshandlungen vorzunehmen. Nach Beendigung des Untersu- chungsverfahrens entscheidet die Staatsanwaltschaft, ob ein Strafbefehl zu erlas- sen, Anklage zu erheben oder das Verfahren einzustellen sei (Art. 318 StPO). Ei- 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Des Weiteren hat eine Einstellung nach Art. 319 Abs. 1 StPO zu ergehen, wenn kein Straftatbestand erfüllt ist (lit. b), Rechtfertigungs- gründe bzw. Schuldausschlussgründe einen Straftatbestand unanwendbar ma- chen (lit. c), Prozessvoraussetzungen definitiv nicht erfüllt werden können bzw. Prozesshindernisse aufgetreten sind (lit. d) oder nach gesetzlicher Vorschrift auf eine Strafverfolgung oder Bestrafung verzichtet werden kann (lit. e). Sinn und</w:t>
      </w:r>
    </w:p>
    <w:p>
      <w:r>
        <w:t>- 4 - Zweck des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Dies bedeutet, dass auch in denjenigen Fällen Anklagen zu erheben sind, in welchen die Waagschalen des "Schuldig und Unschuldig" un- gefähr gleich stehen. Der Grundsatz "in dubio pro reo" nach Art. 10 Abs. 3 StPO spielt hier nicht; vielmehr gilt in Zweifelsfällen die Maxime "in dubio pro duriore" (vgl. zum Ganzen: BGE 137 IV 219 Erw. 7.1 f.; Niklaus Schmid, Handbuch des schweiz. Strafprozessrechts, Zürich/St. Gallen 2009, N 1247 ff.; Niklaus Schmid, StPO Praxiskommentar, Zürich/St. Gallen 2009, Art. 319 N 1 ff., insbesondere N 5; Nathan Landshut, in: Donatsch/Hansjakob/Lieber, Kommentar zur StPO, Zü- rich 2010, Art. 308 N 1 f., Art. 319 N 1 ff., insbesondere N 15).</w:t>
      </w:r>
    </w:p>
    <w:p>
      <w:r>
        <w:rPr>
          <w:b/>
        </w:rPr>
        <w:t>E. 4.1</w:t>
      </w:r>
    </w:p>
    <w:p>
      <w:r>
        <w:t>Gemäss Art. 181 StGB macht sich strafbar, wer jemanden durch Gewalt oder Androhung ernstlicher Nachteile oder durch andere Beschränkung seiner Handlungsfähigkeit nötigt, etwas zu tun, zu unterlassen oder zu dulden.</w:t>
      </w:r>
    </w:p>
    <w:p>
      <w:r>
        <w:rPr>
          <w:b/>
        </w:rPr>
        <w:t>E. 4.1.1</w:t>
      </w:r>
    </w:p>
    <w:p>
      <w:r>
        <w:t>Objektiver Tatbestand In objektiver Hinsicht ist erforderlich, dass der Täter durch seine Nötigungs- handlung das Opfer in seiner Handlungsfreiheit beschränkt und so dazu bringt, sich in einer bestimmten Weise zu verhalten, namentlich etwas zu tun, zu unter- lassen oder zu dulden. Fest steht, dass die Beschwerdeführerin und der Beschwerdegegner 1 wäh- rend ihres ehelichen Zusammenlebens in der Liegenschaft C._____strasse ... in D._____ ihre eheliche Wohnung gemäss Art. 162 ZGB hatten und die Beschwer- deführerin am 23. Februar 2011 durch ihren Rechtsvertreter beim Bezirksgericht Pfäffikon ein Eheschutzbegehren hatte einreichen lassen und darin unter ande- rem beantragte, es sei ihr die eheliche Liegenschaft C._____strasse ... in D._____ zur alleinigen Benützung zuzuweisen (vgl. Urk. 9/6/4). Ebenfalls unbe- stritten ist, dass der Beschwerdegegner 1 am 28. Februar 2011, bereits in Kennt- nis des vorgenannten Eheschutzbegehrens, aber bevor ein richterlicher Entscheid ergangen war oder eine schriftliche Trennungsvereinbarung abgeschlossen wur- de, das Eingangsschloss an der ehelichen Liegenschaft hatte auswechseln las- sen und der Beschwerdeführerin keinen Schlüssel dazu aushändigte. Der Be- schwerdegegner 1 führte dazu aus, er habe ihren Zugang ins Haus kontrollieren wollen, damit man wisse, wo im Haus sie sei. Sie hätte nur noch kommen können, um Sachen zu holen. Schliesslich bejahte er den Vorwurf der einvernehmenden Assistenzstaatsanwältin, er habe bezwecken wollen, der Beschwerdeführerin den Zugang zu den Räumlichkeiten im genannten Einfamilienhaus zu verunmöglichen (vgl. Urk. 9/2/2 S. 2 und 5 ff.). Der Beschwerdegegner 1 wendete im Beschwerdeverfahren zum objektiven Tatbestand ein, die Entscheidungsfreiheit der Beschwerdeführerin sei durch das Auswechseln der Schlösser gar nicht tangiert gewesen, da sie gar keinen Willen gehabt habe, das Haus zu betreten und dort zu wohnen (vgl. Urk. 10 Ziff. 5 S. 2</w:t>
      </w:r>
    </w:p>
    <w:p>
      <w:r>
        <w:t>- 8 - f.). Dabei handelt es sich indes um eine blosse Behauptung, die den tatbe- standsmässigen Erfolg betrifft und die es weiter abzuklären gälte. Das derzeitige Untersuchungsergebnis mag dazu nichts Wesentliches beizutragen. Selbst wenn sich nach ergänzter Untersuchung die Behauptung des Beschwerdegegners 1 als zutreffend erweisen sollte, wäre damit noch nicht ohne Weiteres eine Einstellung oder ein Freispruch begründet, sondern vielmehr das Vorliegen eines strafbaren Versuches im Sinne von Art. 22 StGB zu prüfen. Einstweilen sei bemerkt, dass die vom Beschwerdegegner 1 ins Feld geführten drei Wahrnehmungsberichte von G._____, H._____ und I._____ (Urk. 9/4/1-3) seine Behauptungen nicht in der von ihm dargestellten Weise zu bestätigen vermögen. Ferner stehen die Ausfüh- rungen des Beschwerdegegners 1 in einem Widerspruch zu seinen Aussagen an- lässlich der staatsanwaltschaftlichen Einvernahme vom 14. Januar 2013, wonach es ihm klar gewesen sei, dass seine Ehefrau (die Beschwerdeführerin) noch in der Liegenschaft D._____ wohnte und weiter wohnen wollte (vgl. Urk. 9/2/2 S. 5) und zur Tatsache, dass er den folgenden Schlussvorhalt der Staatsanwaltschaft grundsätzlich anerkannte (vgl. Urk. 9/2/2 S. 6 f.): "Am Montag, 28. Februar 2011, liess der Beschuldigte durch eine Firma das Türschloss zum gemeinsam von ihm und seiner Ehefrau A._____ (Geschädigte) bewohnten Einfamilienhaus an der C._____strasse ... in D._____ auswechseln, ohne der Geschädigten einen Schlüssel zum neuen Türschloss zu übergeben. Dies tat er in der Absicht, der Geschädigten gegen deren Willen den Zugang zu den Räumlichkeiten im genannten Einfamilienhaus zu verunmöglichen, obwohl er wusste, dass sie weiterhin in diesem Einfamilienhaus wohnen wollte. In der Folge war es der Geschädigten nicht mehr möglich, selbständig dieses Haus zu betreten, obwohl sie weiterhin dort wohnen und sich in diesen Räumlichkeiten aufhalten wollte." Bei der derzeitigen Beweislage kann deshalb mit grosser Wahrscheinlichkeit davon ausgegangen werden, dass der Beschwerdegegner 1 durch das Auswech- seln des Türschlosses den objektiven Tatbestand der Nötigung erfüllt hat.</w:t>
      </w:r>
    </w:p>
    <w:p>
      <w:r>
        <w:t>- 9 -</w:t>
      </w:r>
    </w:p>
    <w:p>
      <w:r>
        <w:rPr>
          <w:b/>
        </w:rPr>
        <w:t>E. 4.1.2</w:t>
      </w:r>
    </w:p>
    <w:p>
      <w:r>
        <w:t>Subjektiver Tatbestand</w:t>
      </w:r>
    </w:p>
    <w:p>
      <w:r>
        <w:rPr>
          <w:b/>
        </w:rPr>
        <w:t>E. 4.1.2.1</w:t>
      </w:r>
    </w:p>
    <w:p>
      <w:r>
        <w:t>In subjektiver Hinsicht ist Vorsatz erforderlich, wobei Eventualvor- satz genügt (BGE 101 IV 46 und BGE 120 IV 22). Nach Art. 12 Abs. 2 StGB han- delt vorsätzlich, wer die Tat mit Wissen und Willen ausführt. Wer die Verwirkli- chung der Tat für möglich hält und in Kauf nimmt, handelt eventualvorsätzlich (vgl. Art. 12 Abs. 2 Satz 2 StGB). Nach ständiger Rechtsprechung ist Eventualvorsatz gegeben, wenn der Täter den Eintritt des Erfolgs beziehungsweise die Tatbe- standsverwirklichung für möglich hält, aber dennoch handelt, weil er den Erfolg für den Fall seines Eintritts in Kauf nimmt, sich mit ihm abfindet, mag er ihm auch un- erwünscht sein. Was der Täter wusste, wollte und in Kauf nahm, betrifft soge- nannt innere Tatsachen. Für den Nachweis des Vorsatzes kann sich das Gericht - soweit der Täter nicht geständig ist - regelmässig nur auf äusserlich feststellbare Indizien und auf Erfahrungsregeln stützen, die ihm Rückschlüsse von den äusse- 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(vgl. BGE 134 IV 26 E. 3.2.2.).</w:t>
      </w:r>
    </w:p>
    <w:p>
      <w:r>
        <w:rPr>
          <w:b/>
        </w:rPr>
        <w:t>E. 4.1.2.2</w:t>
      </w:r>
    </w:p>
    <w:p>
      <w:r>
        <w:t>Die Staatsanwaltschaft argumentiert diesbezüglich, der Beschwer- degegner 1 sei subjektiv davon ausgegangen, er sei berechtigt, der Beschwerde- führerin den freien Zugang zum Haus in D._____ zu verwehren, weil er subjektiv davon ausgegangen sei, sie habe ihren Lebensmittelpunkt bereits nach E._____, in die Wohnung oberhalb des Restaurants F._____ verlegt. Dies könne ihm nicht anklagegenügend widerlegt werden (Urk. 5 S. 5 f.). Gehe der Beschwerdegegner 1 davon aus, die Beschwerdeführerin wohne und lebe mehrheitlich in ihrer Woh- nung in E._____, so habe er subjektiv weder einen rechtswidrigen Zweck verfolgt noch ein rechtswidriges Mittel angewandt, um ihr den Zugang zum Haus zu ver- wehren und somit nicht tatbestandsmässig gehandelt. Die Strafuntersuchung sei somit mangels rechtsgenügendem Nachweis des subjektiven Tatbestandes ein- zustellen (Urk. 5 S. 6).</w:t>
      </w:r>
    </w:p>
    <w:p>
      <w:r>
        <w:t>- 10 - Mit dieser Begründung thematisiert die Staatsanwaltschaft nicht nur die Fra- ge des subjektiven Tatbestandes, sondern auch der Rechtswidrigkeit. Was Letz- tere betrifft, wird im Einzelnen auf die nachfolgenden Erwägungen in Ziffer 4.1.3 verwiesen. Vorab gilt es, die Tatbestandsmässigkeit in objektiver und subjektiver Hinsicht zu prüfen, erst hernach stellt sich die Frage der Rechtswidrigkeit des tat- bestandsmässigen Handelns, welches nach konstanter bundesgerichtlicher Rechtsprechung (vgl. bspw. BGE 119 IV 301 E. 2.b) bei der Nötigung nach Art. 181 StGB nicht per se rechtswidrig ist, sondern viel mehr positiv begründet sein muss.</w:t>
      </w:r>
    </w:p>
    <w:p>
      <w:r>
        <w:rPr>
          <w:b/>
        </w:rPr>
        <w:t>E. 4.1.2.3</w:t>
      </w:r>
    </w:p>
    <w:p>
      <w:r>
        <w:t>Dem Schluss der Staatsanwaltschaft, der subjektive Tatbestand könne nicht rechtsgenügend nachgewiesen werden, kann bei der vorliegenden Beweislage und mit Blick auf den Grundsatz 'in dubio pro duriore' aus mehreren Gründen nicht gefolgt werden: a) Der Beschwerdegegner 1 anerkannte den vorstehend zitierten Vorwurf der Staatsanwaltschaft (vgl. Ziff. II.4.1.1. und Urk. 9/2/2 S. 6) anlässlich seiner Einvernahme vom 14. Januar 2013 im Grundsatz und merkte einzig an: "Es fehlt hier, dass A._____ das Haus unter Voranmeldung hätte betreten können. Aber der Sachverhalt ist so korrekt.". b) Unbestritten ist, dass die Beschwerdeführerin und der Beschwerdegeg- ner 1 zum fraglichen Zeitpunkt in Trennung begriffen waren und die Beschwerde- führerin des Öfteren in der zum Restaurant F._____, ihrem Pachtbetrieb, gehö- renden Wohnung in E._____ übernachtet hatte. Ebenfalls steht fest, dass der Be- schwerdegegner 1 Kenntnis vom Eheschutzbegehren der Beschwerdeführerin vom 23. Februar 2011 hatte sowie dem darin enthaltenen Antrag, es sei ihr die eheliche Liegenschaft zur alleinigen Benützung zuzuweisen. Sodann stellte der Beschwerdegegner 1 anlässlich der staatsanwaltschaftlichen Einvernahme nicht in Abrede, dass die Beschwerdeführerin bis am 28. Februar 2011 in der ehelichen Liegenschaft ein und aus gegangen war und auch dort übernachtet hatte, gemäss seinen Angaben immer dienstags (Urk. 9/2/2 S. 2 f.). Divergent sind die Aussagen der Beschwerdeführerin und des Beschwerdegegners 1 hingegen, wenn es um die Frage geht, wie oft, in welcher Regelmässigkeit und mit welcher Intention sich</w:t>
      </w:r>
    </w:p>
    <w:p>
      <w:r>
        <w:t>- 11 - die Beschwerdeführerin seit Dezember 2010 in der ehelichen Liegenschaft aufge- halten hatte. Die Untersuchungsakten (vgl. Urk. 9/2/1-2 und 9/3/1-2) ergeben diesbezüglich auf Anhieb kein klärendes Bild, vielmehr wäre eine sorgfältige Wür- digung der vorliegenden Aussagen vorzunehmen. c) Auf die Frage anlässlich der staatsanwaltschaftlichen Einvernahme vom 14. Januar 2013, ob die Beschwerdeführerin zum fraglichen Zeitpunkt noch Wohnsitz an der C._____strasse ... gehabt habe, antwortete der Beschwerde- gegner 1, offiziellen Wohnsitz schon. Sie habe aber am 14. Juni 2010 bei der Krankenkasse ihre Adresse geändert. Die Post sei einfach nicht mehr nach Hau- se gekommen. Dasselbe mit den Natelrechnungen und dem Onlinebankkonto (Urk. 9/2/2 s. 3). Dabei handelt es sich um reine Behauptungen des Beschwerde- gegners 1, die von den Untersuchungsbehörden nicht weiter abgeklärt wurden, insbesondere wurde die Beschwerdeführerin dazu nicht befragt. Immerhin räumte der Beschwerdegegner 1, wie erwähnt, ein, die Beschwerdefüh- rerin sei einmal pro Woche, immer dienstags, zu Hause (in der ehelichen Liegen- schaft) gewesen, wobei sich aus seiner Aussage nicht ergibt, über welchen Zeit- raum sich diese Usanz erstreckt hatte (Urk. 9/2/2 S. 2 f.). Der Beschwerdegeg- ner 1 bestätigte sodann, dass ihm die Beschwerdeführerin klar gemacht habe, dass sie weiterhin zu Hause (also in der ehelichen Liegenschaft) wohnen wollte, ergänzte aber, aufgrund der Drohungen gegen ihn und seine Tochter sei dies unmöglich gewesen (Urk. 9/2/2 S. 5). Auf nochmaligen Vorhalt der Assistenz- staatsanwältin, dass die Aussagen der Beschwerdeführerin klar zeigten, dass sie noch in der Liegenschaft in D._____ wohnte und auch weiterhin wohnen wollte und ihm dies auch klar gewesen sein musste, antwortete er: "Natürlich war das klar. Aber aufgrund der Bedrohungen, des Geschreis und der Zügelei wollte ich den kontrollierten Zugang von ihr ins Haus, damit man weiss, wo im Haus sie ist. Sie hätte nur noch kommen können, um Sachen zu holen. Im Sommer 2010 fing sie an zu zügeln. Die Wohnung war bereits seit 2008 eingerichtet." (Urk. 9/2/2 S. 5). Zur Frage, wieso die Beschwerdeführerin nur noch kontrolliert hätte ins Einfa- milienhaus sollen, meinte der Beschwerdegegner 1 (vgl. Urk. 9/2/2 S. 2):</w:t>
      </w:r>
    </w:p>
    <w:p>
      <w:r>
        <w:t>- 12 - "Es hatte verschiedene Gründe, dass ich das Schloss ausgewechselt hatte. Erstens hatte sie immer wieder gezügelt. Jedes Mal, wenn sie nach Hause ge- kommen ist, hat sie Sachen mitgenommen. Zweitens hat sie Ware aus meinem Büro mitgenommen, Kundendaten. Sie hat auch Kopien angefertigt. Sie hatte auch Natel und Taschen kontrolliert. Ausschlaggebend war, dass sie die Tochter bedroht hatte und mich am selben Morgen ebenfalls. Die Tochter hatte sie be- droht, weil sie von RA X._____ ein Schreiben bekommen hatte, dass sie im unte- ren Zimmer schlafen solle. Das hatte sie dann auch gemacht. Die Tochter ging jeweils morgens ins Zimmer, um ihre Kleider für die Schule zu holen. Meine Frau sagte zu meiner Tochter, dass sie auch mal Ruhe brauche und dass sie gehen solle und sie zeigte ihr die Faust." d) Die Beschwerdeführerin ihrerseits deponierte anlässlich der staatsanwalt- schaftlichen Einvernahme, sich zum fraglichen Zeitpunkt noch voll in D._____ zu Hause gefühlt zu haben. Sie habe auch nach wie vor dort gewaschen, gekocht und alles gemacht, und auch immer noch den Kühlschrank gefüllt, auch in jener Woche (Urk. 9/3/2 S. 8). Sie räumte zwar ein, ab November/Dezember 2010 hauptsächlich in der F._____ in E._____ geschlafen zu haben (Urk. 9/3/2 S. 3). Zur Frage, wo sie denn im Februar 2011 am liebsten übernachtet hätte, meinte sie, sie wäre gerne nach Hause gegangen, aber mit dem Stress im Geschäft und der Situation zu Hause sei dies nicht zum aushalten gewesen (Urk. 9/3/2 S. 5). In der Nacht vom 27. auf den 28. Februar 2011 habe sie zu Hause übernachtet (Urk. 9/3/2 S. 5). Insgesamt lässt sich aus der polizeilichen und staatsanwaltschaftli- chen Einvernahme der Beschwerdeführerin (Urk. 9/3/1-2) nicht von vornherein der Eindruck entnehmen, dass sie ihren Lebensmittelpunkt nach E._____ verlegt hatte. In diesem Kontext ist nicht ausser Acht zu lassen, dass es im Zuge eheli- cher Krisen und Trennungen durchaus Usanz ist und deeskalierend wirkt, wenn es zu einer räumlichen Entflechtung der Ehegatten kommt und ein Ehegatte, zu- mindest vorübergehend, an einem anderen Ort unterkommt. Dass sich für die Be- schwerdeführerin die Wohnung im Restaurant F._____ als vorübergehende Un- terkunft bis zur Regelung des Getrenntlebens bzw. einer Scheidung anbot, liegt auf der Hand, zumal die Wohnung ohne Weiteres zur Verfügung stand und dadurch unkompliziert und spontan benutzt werden konnte. Dass die Beschwer-</w:t>
      </w:r>
    </w:p>
    <w:p>
      <w:r>
        <w:t>- 13 - deführerin zu diesem Zweck gewisse Dinge, insbesondere persönliche Effekte, aus der ehelichen Wohnung mitnimmt, vermag ebenfalls noch nicht die Verschie- bung des Lebensmittelpunktes zu begründen, sondern hat einen rein praktischen Hintergrund. Dies wäre bei einer sorgfältigen Würdigung der Aussagen der Be- schwerdeführerin und des Beschwerdegegners 1 mitzubeachten. e) Die Annahme der Staatsanwaltschaft, der Beschwerdegegner 1 sei davon ausgegangen, die Beschwerdeführerin habe zum fraglichen Zeitpunkt ihren Le- bensmittelpunkt bereits nach E._____ verlegt, und er habe sich deshalb berech- tigt gesehen, ihr den freien Zugang zum Haus in D._____ zu verwehren (vgl. Urk.</w:t>
      </w:r>
    </w:p>
    <w:p>
      <w:r>
        <w:rPr>
          <w:b/>
        </w:rPr>
        <w:t>E. 4.1.2.4</w:t>
      </w:r>
    </w:p>
    <w:p>
      <w:r>
        <w:t>Nach dem Gesagten zeigt sich, dass diverse Anhaltspunkte vorlie- gen, die massgeblich daran zweifeln lassen, dass der anwaltlich vertretene Be- schwerdegegner 1 "subjektiv" davon ausgehen konnte, die Beschwerdeführerin habe ihren Lebensmittelpunkt nach E._____ verlegt und das Auswechseln der Schlösser sei dadurch rechtens. Jedenfalls ist ein zumindest eventualvorsätzli- ches Handeln des Beschwerdegegners 1 nicht von vornherein ausschliessen,</w:t>
      </w:r>
    </w:p>
    <w:p>
      <w:r>
        <w:t>- 14 - weshalb es durchaus wahrscheinlich erscheint, dass im Falle einer Anklage ein Schuldspruch resultiert. Zum jetzigen Zeitpunkt kann bezüglich des tatbestands- mässigen Handelns nicht mit überwiegender Wahrscheinlichkeit mit einem Frei- spruch gerechnet werden. Die Einstellung der Strafuntersuchung mit dem Argu- ment, es mangle am rechtsgenügenden Nachweis des subjektiven Tatbestandes, ist mit Blick auf den Grundsatz 'in dubio pro duriore' bei der derzeitigen Beweisla- ge nicht gerechtfertigt. Angezeigt wäre insbesondere eine sorgfältige Würdigung der Aussagen des Beschwerdegegners 1 und der Beschwerdeführerin, um kon- kretere Rückschlüsse auf die innere Einstellung und die Beweggründe des Be- schwerdegegners 1 zu ziehen.</w:t>
      </w:r>
    </w:p>
    <w:p>
      <w:r>
        <w:rPr>
          <w:b/>
        </w:rPr>
        <w:t>E. 4.1.3</w:t>
      </w:r>
    </w:p>
    <w:p>
      <w:r>
        <w:t>Rechtswidrigkeit</w:t>
      </w:r>
    </w:p>
    <w:p>
      <w:r>
        <w:rPr>
          <w:b/>
        </w:rPr>
        <w:t>E. 4.1.3.1</w:t>
      </w:r>
    </w:p>
    <w:p>
      <w:r>
        <w:t>Die Staatsanwaltschaft erwägt, die Behauptung des Beschwerde- gegners 1, die Beschwerdeführerin sei faktisch bereits in die Wohnung in E._____ umgezogen gewesen, könne nicht rechtsgenügend widerlegt werden. Demzufolge sei der Beschwerdegegner 1 berechtigt gewesen, der von ihm faktisch getrennt lebenden Beschwerdeführerin den ungehinderten Zugang zu seinem Haus zu verwehren, wodurch der Tatbestand der Nötigung nicht erfüllt sei. Weiter argu- mentiert sie, sei der Beschwerdegegner 1 davon ausgegangen, die Beschwerde- führerin wohne und lebe mehrheitlich in ihrer Wohnung in E._____, so habe er subjektiv weder einen rechtswidrigen Zweck verfolgt noch ein rechtswidriges Mit- tel angewandt, um ihr den Zugang zum Haus zu verwehren und somit nicht tatbe- standsmässig gehandelt.</w:t>
      </w:r>
    </w:p>
    <w:p>
      <w:r>
        <w:rPr>
          <w:b/>
        </w:rPr>
        <w:t>E. 4.1.3.2</w:t>
      </w:r>
    </w:p>
    <w:p>
      <w:r>
        <w:t>Die Rechtswidrigkeit bedarf bei Art. 181 StGB einer zusätzlichen, besonderen Begründung. Eine Nötigung ist nur unrechtmässig, wenn das Mittel oder der Zweck unerlaubt ist oder wenn das Mittel zum angestrebten Zweck nicht im richtigen Verhältnis steht oder wenn die Verknüpfung zwischen einem an sich zulässigen Mittel und einem erlaubten Zweck rechtsmissbräuchlich oder sittenwid- rig ist (vgl. BGE 129 IV 6 E. 3.4 mit weiteren Hinweisen).</w:t>
      </w:r>
    </w:p>
    <w:p>
      <w:r>
        <w:t>- 15 -</w:t>
      </w:r>
    </w:p>
    <w:p>
      <w:r>
        <w:rPr>
          <w:b/>
        </w:rPr>
        <w:t>E. 4.1.3.3</w:t>
      </w:r>
    </w:p>
    <w:p>
      <w:r>
        <w:t>Unbestritten ist, dass die fragliche Liegenschaft während des eheli- chen Zusammenlebens der Beschwerdeführerin und des Beschwerdegengers 1 als eheliche Wohnung im Sinne von Art. 162 ZGB diente. Den Ehegatten steht die Hausgewalt (Art. 331 ff. ZGB) und das Hausrecht über die ehelichen Wohnung unabhängig der sachen- und obligationenrechtlichen Berechtigung gemeinsam zu (vgl. Hausheer/Reusser/Geiser, Berner Kommentar zum Familienrecht, Bern 1999, 2. Aufl., Art. 162 ZGB N 28 und 30). Ist die Aufhe- bung des gemeinsamen Haushaltes begründet, so muss das Gericht gemäss Art. 176 Abs. 1 Ziff. 2 ZGB auf Begehren eines Ehegatten die Benützung der Woh- nung und des Hausrates regeln. Wo sich der Wohnsitz eines Ehegatten befindet, beurteilt sich ausschliesslich nach Art. 23 ff. ZGB und nicht nach dem Ort der ehe- lichen Wohnung. Allerdings muss der Wille eines Ehegatten, den gemeinsamen Wohnsitz aufzugeben und einen eigenen neuen Wohnsitz zu begründen, deutlich erkennbar geworden sein. In Zweifelsfällen ist daher der bisherige eheliche Wohnsitz nach wie vor als Wohnsitz zu betrachten (vgl. BGE 115 II 120). Aus den Akten und den Parteivorbringen geht nicht hervor, dass die Be- schwerdeführerin und der Beschwerdegegner 1 konkludent oder ausdrücklich vereinbart hätten, wer während des Getrenntlebens in der ehelichen Liegenschaft wohnen bleibt bzw. diese benützen darf. Im Gegenteil, der Beschwerdegegner 1 beanspruchte die eheliche Liegenschaft augenscheinlich für sich, während ihm die Beschwerdeführerin unbestrittenermassen klar mitteilte, dass sie noch in der ehelichen Liegenschaft wohne und auch weiterhin wohnen wolle (vgl. Urk. 9/2/2 S. 5) und sich, nach Angaben des Beschwerdegegners 1, weigerte, ihm ihren Hausschlüssel auszuhändigen (vgl. Urk. 9/2/1 S. 5 Frage 20). Dass die Be- schwerdeführerin daran interessiert war, weiterhin in der ehelichen Liegenschaft zu leben, manifestierte sich zudem durch ihr Eheschutzbegehren vom 23. Februar 2011 (Urk. 9/6/4). Nachdem zum fraglichen Zeitpunkt die Benützung der eheli- chen Wohnung offenbar weder durch eine Vereinbarung noch einen Gerichtsent- scheid geregelt war, waren rechtlich beide Ehegatten bis zu einem anderslauten- den richterlichen Entscheid berechtigt, die eheliche Liegenschaft zu nutzen bzw. zu bewohnen. Dass der Beschwerdegegner 1 gemäss übereinstimmender Anga-</w:t>
      </w:r>
    </w:p>
    <w:p>
      <w:r>
        <w:t>- 16 - ben Alleineigentümer der Liegenschaft ist (vgl. Urk. 9/2/1 S. 4 Frage 15 und Urk. 9/3/1 S. 3 Frage 9), tut dabei, wie vorstehend ausgeführt, nichts zur Sache. Beim jetzigen Stand der Akten muss deshalb davon ausgegangen werden, dass der Beschwerdegegner 1 eherechtlich nicht berechtigt war, eigenmächtig die Eingangsschlösser zu wechseln und der Beschwerdeführerin den Zugang zur ehelichen Liegenschaft zu verweigern bzw. von seinem Willen abhängig zu ma- chen. Mit Blick auf Art. 181 StGB ist das vom Beschwerdegegner 1 angewendete Mittel (Auswechseln der Eingangsschlösser) unrechtmässig und folglich die Rechtswidrigkeit, sofern sich die Nötigung als tatbestandsmässig erweist, zu be- jahen. 4.1.4.1. Allenfalls kann die Darstellung des Beschwerdegegners 1, er habe alles richtig gemacht, er habe vor dem Auswechseln der Schlösser mit seinem Anwalt Rücksprache genommen und sich den rechtlichen Hintergrund erklären lassen (vgl. Urk. 9/2/1 S. 4) oder wie er nach Angaben der Beschwerdeführerin in einem SMS vom 28. Februar 2011 geschrieben hatte: "Mit bewilligung meines anwaltes habe ich die schlösser in D._____ gewechselt." (Urk. 9/3/1 Frage 6 S. 2), bedeuten, dass er einem Irrtum über die Rechtswidrigkeit (vgl. Art. 21 StGB) unterlegen ist und daher nicht schuldhaft gehandelt hat. Bei den genannten An- gaben des Beschwerdegegners 1 handelt es sich indes um blosse Behauptun- gen, welche abzuklären wären. Dazu wäre insbesondere sein damit befasster Anwalt, mutmasslich Rechtsanwalt lic. iur. Y._____, zu befragen, sofern er vom Beschwerdegegner 1 vom Anwaltsgeheimnis entbunden wird. Immerhin sei im Sinne eines Indizes darauf hingewiesen, dass Rechtsanwalt Y._____ in einem Email an Rechtsanwalt X._____ vom 28. Februar 2011 verneinte, den Beschwer- degegner 1 angewiesen zu haben, den Schlosszylinder auszuwechseln und die Beschwerdeführerin nicht mehr in die ehelichen Liegenschaft zu lassen (vgl. Urk. 9/6/9). 4.1.4.2. Die Mutmassung der Beschwerdegegnerin 2, der Beschwerdegeg- ner 1 sei "subjektiv" davon ausgegangen, die Beschwerdeführerin habe ihren Le- bensmittelpunkt bereits nach E._____ verlegt und er sei deshalb "subjektiv" davon ausgegangen, er sei berechtigt, ihr den freien Zugang zum Haus in D._____ zu</w:t>
      </w:r>
    </w:p>
    <w:p>
      <w:r>
        <w:t>- 17 - verwehren (vgl. Urk. 5 Ziff. IV. S. 5) erscheint nach dem vorstehend Gesagten und den Zugeständnissen des anwaltlich vertretenen Beschwerdegegners 1 (vgl. insbesondere Ziff. II.4.1.2.3) in erheblichem Masse zweifelhaft. Es wäre daher am zuständigen Sachrichter, nach sorgfältiger Würdigung aller Beweismittel zu ent- scheiden, ob ein entsprechender Sachverhalts- oder Rechtsirrtum vorliegt.</w:t>
      </w:r>
    </w:p>
    <w:p>
      <w:r>
        <w:rPr>
          <w:b/>
        </w:rPr>
        <w:t>E. 4.2</w:t>
      </w:r>
    </w:p>
    <w:p>
      <w:r>
        <w:t>Zusammengefasst ist eine Verfahrenseinstellung mit Blick auf den Grundsatz "in dubio pro duriore" bei der vorliegenden Beweislage nicht gerecht- fertigt. Die Beschwerde ist daher gutzuheissen und die Sache an die Beschwer- degegnerin 2 zurückzuweisen.</w:t>
      </w:r>
    </w:p>
    <w:p>
      <w:r>
        <w:rPr>
          <w:b/>
        </w:rPr>
        <w:t>E. 5</w:t>
      </w:r>
    </w:p>
    <w:p>
      <w:r>
        <w:t>Die Beschwerdeführerin stellt weiter den Antrag, die Staatsanwalt- schaft sei anzuweisen, gegen den Beschwerdegegner 1 Anklage zu erheben (Urk. 2, S. 2 Antrag 3). Darauf ist im vorliegenden Fall zu verzichten und der Staatsanwaltschaft zu überlassen, wie sie weiter vorgehen will. Das Erteilen von Weisungen eines Ge- richtes an die Staatsanwaltschaft ist aufgrund des Gewaltenteilungsprinzips grundsätzlich heikel (vgl. ZR 101 Nr. 12 und Art. 4 StPO). Zwar sieht Art. 397 Abs. 3 StPO vor, dass bei Gutheissung von Beschwerden gegen eine Einstellungsver- fügung und Rückweisung der Sache der Staatsanwaltschaft oder der Übertre- tungsstrafbehörde Weisungen erteilt werden können, doch ist davon in der Regel eher zurückhaltend Gebrauch zu machen (BSK StPO-Stephenson/Thiriet, Art. 397 StPO N 8; vgl. auch Schmid, StPO Praxiskommentar, Art. 397 N 5), zumal der Untersuchungsbehörde im Rahmen der Durchführung von Untersuchungen ein (pflichtgemäss auszuübendes) Ermessen zukommt. Gemäss Praxis der hiesi- gen Kammer wird aus diesen Gründen vom Erteilen von Weisungen an die Staatsanwaltschaft grundsätzlich abgesehen (Beschluss vom 29. Mai 2012, Ge- schäfts-Nr. UE120071, Erw. 3.6 m.H. auf frühere Beschlüsse) III. Die Regelung der Kosten- und Entschädigungsfolgen hat im Endentscheid zu erfolgen (Art. 421 Abs. 1 StPO). Die Gerichtsgebühr für das Beschwerdever-</w:t>
      </w:r>
    </w:p>
    <w:p>
      <w:r>
        <w:t>- 18 - fahren ist zuhanden der das Strafverfahren abschliessenden Strafbehörde in Be- achtung der Bemessungskriterien von § 2 Abs. 1 lit. b - d GebV OG (Bedeutung des Falls, Zeitaufwand des Gerichts, Schwierigkeit des Falls) und gestützt auf § 17 Abs. 1 GebV OG auf Fr. 800.00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