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UE130035 vom 16. April 2013</w:t>
      </w:r>
    </w:p>
    <w:p>
      <w:r>
        <w:t>ZH Obergericht, 2013-04-16, DE</w:t>
      </w:r>
    </w:p>
    <w:p>
      <w:r>
        <w:rPr>
          <w:b/>
        </w:rPr>
        <w:t xml:space="preserve">Quelle: </w:t>
      </w:r>
      <w:r>
        <w:t>https://mcp.opencaselaw.ch/entscheid/zh_obergericht_UE130035</w:t>
      </w:r>
    </w:p>
    <w:p>
      <w:r>
        <w:t>FR: ZH_OBERGERICHT UE130035 du 16 avril 2013</w:t>
      </w:r>
    </w:p>
    <w:p>
      <w:r>
        <w:t>IT: ZH_OBERGERICHT UE130035 del 16 aprile 2013</w:t>
      </w:r>
    </w:p>
    <w:p>
      <w:pPr>
        <w:pStyle w:val="Heading2"/>
      </w:pPr>
      <w:r>
        <w:t>Erwägungen</w:t>
      </w:r>
    </w:p>
    <w:p>
      <w:r>
        <w:rPr>
          <w:b/>
        </w:rPr>
        <w:t>E. 2</w:t>
      </w:r>
    </w:p>
    <w:p>
      <w:r>
        <w:t>Rechtliches und Folgerungen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 ausschlussgründe einen Straftatbestand unanwendbar machen (lit. c), Prozessvo- raussetzungen definitiv nicht erfüllt werden können bzw. Prozesshindernisse auf-</w:t>
      </w:r>
    </w:p>
    <w:p>
      <w:r>
        <w:t>- 7 - getreten sind (lit. d) oder nach gesetzlicher Vorschrift auf eine Strafverfolgung o- der Bestrafung verzichtet werden kann (lit. e). Sinn und Zweck des Art. 319 StPO ist es, die beschuldigte Person vor Anklagen zu schützen, die mit einiger Sicher- heit zu Freisprüchen führen müssten. Da die Staatsanwaltschaft nicht dazu beru- fen ist, über Recht und Unrecht zu richten, darf sie jedoch nicht allzu rasch, ge- stützt auf eigene Bedenken, zu einer Einstellung schreiten. In Zweifelsfällen be- weismässiger oder rechtlicher Natur soll tendenziell Anklage erhoben werden. Der Grundsatz "in dubio pro reo" nach Art. 10 Abs. 3 StPO spielt hier nicht (vgl. zum Ganzen: Niklaus Schmid, Handbuch des schweiz. Strafprozessrechts, Zürich/ St. Gallen 2009, N 1247 ff.; Niklaus Schmid, StPO Praxiskommentar, Zürich/ St. Gallen 2009, Art. 319 N 1 ff., insbesondere N 5; Nathan Landshut, in: Do- natsch/ Hansjakob/Lieber, Kommentar zur StPO, Zürich 2010, Art. 308 N 1 f., Art. 319 N 1 ff., insbesondere N 15). Nach Art. 123 Ziff. 1 StGB wird auf Antrag mit Freiheitsstrafe bis zu drei Jahren oder Geldstrafe bestraft, wer vorsätzlich einen Menschen in anderer Weise [als bei einer schweren Körperverletzung] an Körper oder Gesundheit schädigt. Ge- mäss Art. 126 Abs. 1 StGB wird auf Antrag mit Busse bestraft, wer gegen jeman- den Tätlichkeiten verübt, die keine Schädigung des Körpers oder der Gesundheit zur Folge haben. Der Tatbestand der Tätlichkeiten erfasst neben Schlägen auch andere Einwirkun- gen auf den Körper oder den Gesundheitszustand eines Menschen, die immerhin eine bestimmte Intensität erreichen müssen. Das Bundesgericht forderte früher, dass die betreffende Handlung "einige Schmerzen" verursacht. Nach seiner seit- herigen Praxis ist unabhängig davon eine Tätlichkeit anzunehmen, wenn die phy- sische Einwirkung auf einen Menschen – ohne eine Schädigung des Körpers oder der Gesundheit zur Folge zu haben – das allgemein übliche und gesellschaftlich geduldete Mass überschreitet. Als Beispiele werden etwa Ohrfeigen, Fusstritte, heftige Stösse, Bewerfen mit Gegenständen von einigem Gewicht und Begiessen mit Flüssigkeiten genannt (BGE 117 IV 16 f., 119 IV 26). Bei der Beurteilung der Frage, ob eine Einwirkung der genannten Arten bereits zu einer Schädigung an Körper oder Gesundheit führt, so dass eine einfache Körperverletzung nach</w:t>
      </w:r>
    </w:p>
    <w:p>
      <w:r>
        <w:t>- 8 - Art. 123 Ziff. 1 StGB anzunehmen ist, muss dem Sachrichter ein gewisses Er- messen zugestanden werden. Selbst Verstauchungen, Quetschungen und Schür- fungen lassen sich noch als Tätlichkeiten qualifizieren; es sei denn, sie verursa- chen erhebliche Schmerzen oder beeinträchtigen das Aussehen des Geschädig- ten für einige Zeit. Stets als Körperverletzung gelten indessen selbst vorüberge- hende gesundheitliche Störungen, die bereits Krankheitswert haben, so etwa wenn das Opfer bewusstlos geschlagen wird (Andreas Donatsch, Strafrecht III, 9. Auflage, Zürich 2008, S. 43 f.). Die Abgrenzung des Art. 123 StGB zur Tätlichkeit ist vielfach schwierig und unter- liegt einem weiten Ermessen. Es sind einerseits die objektiven Verletzungsfolgen, anderseits jedoch auch die objektiven und subjektiven Umstände der Tat zu be- rücksichtigen. Massgebend ist letztlich, ob sich die Beeinträchtigungen als vo- rübergehende Störung des Wohlbefindens charakterisieren lassen oder ob ihnen Krankheitswert zukommt. Das Zufügen von Schwellungen und Rötungen sowie einer Druckschmerzhaftigkeit im Rahmen einer körperlichen Auseinandersetzung liegt im Grenzbereich von Art. 123 Ziff. 1 StGB und Art. 126 StGB (Andreas Do- natsch, Strafrecht III, 9. Auflage, Zürich 2008, S. 46 f.). Im vorliegenden Fall bestehen die objektiven Verletzungsfolgen in einer Schwel- lung und Rötung über Wange, Jochbein und Schläfe rechts sowie in Schürfungen und Prellmarken am Hals. Die Darstellung der Staatsanwaltschaft See/Oberland, wonach aufgrund der Akten von keiner Nachbehandlung auszugehen sei, liess der Beschwerdeführer nicht bestreiten. Selbst wenn man diese Verletzungsfolgen nach dem oben Ausgeführten im Grenzbereich von Art. 123 Ziff. 1 StGB und Art. 126 StGB einstufen wollte, erscheint die Grenze von der Tätlichkeit zur Körperver- letzung jedenfalls nicht erwiesenermassen als überschritten. Zu berücksichtigen sind zudem nicht allein die objektiven Verletzungsfolgen, sondern auch die objek- tiven und subjektiven Umstände der Tat. In diesem Zusammenhang fällt im vor- liegenden Fall besonders ins Gewicht, dass der Beschwerdegegner 1 nach der unbestritten gebliebenen Sachverhaltserstellung der Staatsanwaltschaft See/Oberland in eine Streiterei zwischen einer Gruppe von Knaben und seinem Sohn F._____ sowie G._____ eingriff, wobei F._____ vom Beschwerdeführer mit</w:t>
      </w:r>
    </w:p>
    <w:p>
      <w:r>
        <w:t>- 9 - Schlägen und Fusstritten eingedeckt wurde, unter Schmerzen litt und aufgrund der Schläge und Fussstritte nur unter Schwierigkeiten aufstehen konnte; als der Beschwerdegegner 1 diesen körperlichen Zustand von G._____ festgestellt hatte, liess er sich zu einer Ohrfeige hinreissen. Die objektiven Umstände der Tat be- stehen somit in einer vorhergehenden, gewaltsamen Einwirkung des Beschwer- deführers auf den Körper einer Drittperson und die subjektiven Umstände in dem dadurch verursachten, sehr erregten Gemütszustand des Beschwerdegegners 1. Bei dieser Sachlage erweist sich die von der Staatsanwaltschaft See/Oberland vorgenommene Qualifizierung der Tat als Tätlichkeiten im Sinne von Art. 126 Abs. 1 StGB als rechtmässig und angemessen. Dies führt zur Abweisung der Beschwerde. III. Kosten- und Entschädigungsfolgen Ausgangsgemäss wären die Kosten für das Beschwerdeverfahren dem Be- schwerdeführer aufzuerlegen (Art. 428 Abs. 1 StPO). Angesichts seines Alters sind die Kosten indes auf die Gerichtskasse zu nehmen. Dem Beschwerdegegner 1 ist mangels erheblicher Umtriebe keine Prozessent-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