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UE120295 vom 11. Juli 2013</w:t>
      </w:r>
    </w:p>
    <w:p>
      <w:r>
        <w:t>ZH Obergericht, 2013-07-11, DE</w:t>
      </w:r>
    </w:p>
    <w:p>
      <w:r>
        <w:rPr>
          <w:b/>
        </w:rPr>
        <w:t xml:space="preserve">Quelle: </w:t>
      </w:r>
      <w:r>
        <w:t>https://mcp.opencaselaw.ch/entscheid/zh_obergericht_UE120295</w:t>
      </w:r>
    </w:p>
    <w:p>
      <w:r>
        <w:t>FR: ZH_OBERGERICHT UE120295 du 11 juillet 2013</w:t>
      </w:r>
    </w:p>
    <w:p>
      <w:r>
        <w:t>IT: ZH_OBERGERICHT UE120295 del 11 luglio 2013</w:t>
      </w:r>
    </w:p>
    <w:p>
      <w:pPr>
        <w:pStyle w:val="Heading2"/>
      </w:pPr>
      <w:r>
        <w:t>Erwägungen</w:t>
      </w:r>
    </w:p>
    <w:p>
      <w:r>
        <w:rPr>
          <w:b/>
        </w:rPr>
        <w:t>E. 1</w:t>
      </w:r>
    </w:p>
    <w:p>
      <w:r>
        <w:t>A._____ (nachfolgend: Beschwerdeführer) erstattete am 25. Oktober 2012 bei der Oberstaatsanwaltschaft des Kantons Zürich Strafanzeige gegen Unbe- kannt (Urk. 8/1). Die Akten wurden daraufhin zuständigkeitshalber an die Staats- anwaltschaft Zürich-Sihl (nachfolgend: Staatsanwaltschaft) zur Prüfung und weite- ren Veranlassung überwiesen (Urk. 8/2). Mit Verfügung vom 19. November 2012 nahm die Staatsanwaltschaft die Untersuchung nicht anhand (Urk. 3 = Urk. 8/3).</w:t>
      </w:r>
    </w:p>
    <w:p>
      <w:r>
        <w:rPr>
          <w:b/>
        </w:rPr>
        <w:t>E. 2</w:t>
      </w:r>
    </w:p>
    <w:p>
      <w:r>
        <w:t>Gegen diese Verfügung erhob der Beschwerdeführer innert Frist Beschwer- de und verlangte sinngemäss, die Nichtanhandnahmeverfügung sei aufzuheben und es sei eine Strafuntersuchung zu eröffnen (Urk. 2). Die Staatsanwaltschaft verzichtete auf Vernehmlassung zur Beschwerde (Urk. 7).</w:t>
      </w:r>
    </w:p>
    <w:p>
      <w:r>
        <w:rPr>
          <w:b/>
        </w:rPr>
        <w:t>E. 3</w:t>
      </w:r>
    </w:p>
    <w:p>
      <w:r>
        <w:t>In seiner Beschwerdeschrift brachte der Beschwerdeführer im Wesentlichen Folgendes vor: Der von ihm geschilderte Vorfall stelle nach seiner Rechtsauffas- sung den Straftatbestand der Nötigung dar. Er sei unter Androhung von körperli- cher Gewalt festgenommen worden. Weder die Festnahme noch die Androhung von körperlicher Gewalt seien rechtens gewesen. Es habe keine strafbare Hand- lung oder ein konkreter Verdacht zu einer strafbaren Handlung vorgelegen. Elekt- ronische Diebstahlsicherungen bzw. Sicherheitsschranken seien auch an den un- besetzten Kassen aktiv. Dass er der Aufforderung des Mitarbeiters des B._____, eine besetzte Kasse zu passieren, nicht nachgekommen sei, habe daran gelegen, dass er den Kassenbereich verlassen und sich bereits beim Lift befunden habe, als ihn der B._____ Mitarbeiter angesprochen habe. Dieser habe ihn auch nicht aufgefordert, wieder zurück zu gehen, um den Ladenbereich erneut über eine be- setzte Kasse den Ladenbereich zu verlassen, was im Übrigen auch nicht sinnvoll gewesen wäre. Dass er den Inhalt seines Rucksacks nicht gezeigt habe, habe da- ran gelegen, dass der Mitarbeiter zu keinem Zeitpunkt einen Verdacht auf Dieb- stahl geäussert habe. Er - der Beschwerdeführer - habe eher den Eindruck ge- habt, dass er dem Mitarbeiter des B._____ nicht ausreichend genug "Reue" ge- zeigt habe und er ihm deshalb zur Strafe seine Grundrechte habe einschränken wollen. Gemäss Art. 219 Abs. 1 StPO hätte ihn die Polizei über die Gründe seiner Festnahme informieren und ihn über seine Rechte aufklären müssen, was diese nicht getan habe. Die Durchsuchung sei ohne konkreten Verdacht auf Diebstahl erfolgt. Es scheine ihm, dass die Durchsuchung mit der Begründung, Diebesgut zu suchen, vorgeschoben worden sei. Seine Freilassung aus der Festnahme sei nach über einer Stunde erfolgt, weshalb der Straftatbestand der Freiheitsberau- bung geprüft werden sollte. Strafrechtlich ungeprüft habe die Staatsanwaltschaft schliesslich seine Anzeige, wonach die Polizisten nach Feststellung seiner Un- schuld und entgegen seiner Willensäusserung einem Mitarbeiter des B._____ seinen Identitätsausweis zur weiteren Verwendung ausgehändigt hätten (Urk. 2).</w:t>
      </w:r>
    </w:p>
    <w:p>
      <w:r>
        <w:t>- 5 -</w:t>
      </w:r>
    </w:p>
    <w:p>
      <w:r>
        <w:rPr>
          <w:b/>
        </w:rPr>
        <w:t>E. 4</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 5.1. Der Nötigung macht sich schuldig, wer jemanden durch Gewalt oder Andro- hung ernstlicher Nachteile oder durch andere Beschränkung seiner Handlungsfä-</w:t>
      </w:r>
    </w:p>
    <w:p>
      <w:r>
        <w:t>- 6 - higkeit nötigt, etwas zu tun, zu unterlassen oder zu dulden (Art. 181 StGB). Der Freiheitsberaubung macht sich schuldig, wer jemanden unrechtmässig festnimmt oder gefangen hält oder jemandem in anderer Weise unrechtmässig die Freiheit entzieht (Art. 183 Abs. 1 StGB). 5.2. Wer handelt, wie es das Gesetz gebietet oder erlaubt, verhält sich recht- mässig, auch wenn die Tat nach diesem oder einem andern Gesetz mit Strafe bedroht ist (Art. 14 StGB). Kann polizeiliche Hilfe nicht rechtzeitig erlangt werden, so sind Private berechtigt, eine Person vorläufig festzunehmen, wenn sie diese bei einem Verbrechen oder Vergehen auf frischer Tat ertappt oder unmittelbar nach der Begehung einer solchen Tat angetroffen haben (Art. 218 Abs. 1 lit. a StPO). Dieser Artikel stellt einen gesetzlichen Rechtfertigungsgrund im Sinne von Art. 14 StGB dar. Die Formulierung "unmittelbar nach der Tat" legt nahe, dass derjenige, der den Täter verhaftet, die Begehung des Delikts als solche zwar nicht unmittelbar wahrgenommen hat, aber aufgrund der konkreten Umstände die Per- son dessen dringend verdächtigt (Albertini/Armbruster, in: Niggli/Heer/Wiprächti- ger [Hrsg.], Basler Kommentar zur Schweizerischen Strafprozessordnung, Basel 2011, Art. 217 N 3 i.V.m. Art. 218 N 1). 5.3. Die Erwägungen der Staatsanwaltschaft in ihrer Nichtanhandnahmeverfü- gung erscheinen zutreffend. Insbesondere ist nicht zu beanstanden, wenn sie ausführt, der Beschwerdeführer habe die vorliegend zu beurteilende Sache durch sein verdächtiges Verhalten selber provoziert (vgl. Urk. 3 S. 2 = Urk. 8/3 S. 2). Wie der Beschwerdeführer in seiner Strafanzeige selber einräumt, ist er der Auf- forderung des Mitarbeiters des B._____s, den regulären Ausgang zu nehmen, nicht nachgekommen und entgegnete diesem stattdessen, dies sei der kürzeste Weg zum Fahrstuhl. Aufgrund der in der Strafanzeige umschriebenen Reaktion des B._____ Mitarbeiters ("So nicht, jetzt will ich den Inhalt Ihres Rucksacks se- hen"; Urk. 8/1 S. 1) ist zu schliessen, dass dieser - entgegen den diesbezüglichen Ausführungen in der Beschwerdeschrift (vgl. Urk. 2 S. 2) - erwartete, der Be- schwerdeführer würde seiner Aufforderung Folge leisten. Aufgrund der vorliegen- den Umstände durfte der Mitarbeiter des B._____ den Beschwerdeführer des Diebstahls dringend verdächtigen, was eine vorläufige Festnahme im Sinne von</w:t>
      </w:r>
    </w:p>
    <w:p>
      <w:r>
        <w:t>- 7 - Art. 218 Abs. 1 lit. a StPO rechtfertigt (vgl. Albertini/Armbruster, a.a.O., Art. 217 N 3 i.V.m. Art. 218 N 1). Dass sich der Beschwerdeführer zum Zeitpunkt der Auf- forderung bereits beim Fahrstuhl befunden haben soll, vermag daran nichts zu ändern. Ebenfalls nicht von Relevanz ist die Frage, ob auch die unbesetzten Kas- sen mit einer aktiven Sicherheitsschranke versehen sind. Es ist im Weiteren nicht ersichtlich, dass die Anhaltung durch den Mitarbeiter des B._____ und den Si- cherheitsbeamten die erlaubten Grenzen gemäss Art. 218 Abs. 2 StPO über- schritten hätte. So ist der Strafanzeige zu entnehmen, dass die Polizei innerhalb von einer halben Stunde eingetroffen ist (vgl. Urk. 8/1 S. 1; vgl. hierzu auch BGE 128 IV 75, E. 2a-d, wonach die vorläufige Festnahme einer auf frischer Tat er- tappten verdächtigen Person durch den Geschädigten den Tatbestand der Frei- heitsberaubung erfüllt, soweit sie länger dauert als die Zeit, welche die Polizei bräuchte, um zum Ort des Geschehens zu gelangen). Schliesslich ist nicht er- sichtlich, inwiefern sich die Polizei in strafrechtlich relevanter Weise verhalten ha- ben soll.</w:t>
      </w:r>
    </w:p>
    <w:p>
      <w:r>
        <w:rPr>
          <w:b/>
        </w:rPr>
        <w:t>E. 6</w:t>
      </w:r>
    </w:p>
    <w:p>
      <w:r>
        <w:t>Zusammenfassend ist festzuhalten, dass vorliegend von der Staatsanwalt- schaft zu Recht keine Strafuntersuchung anhand genommen wurde. Der Be- schwerdeführer hat nichts vorgebracht, was an dieser Beurteilung etwas zu än- dern vermöchte. Die Beschwerde ist daher abzuweisen. III. Ausgangsgemäss sind die Kosten des Beschwerdeverfahrens dem Beschwerde- führer aufzuerlegen (Art. 428 Abs. 1 StPO). Die Gerichtsgebühr ist auf Fr. 800.– festzusetzen (§ 17 Abs. 1 i.V.m. § 2 Abs. 1 der Gebührenverordnung des Oberge- richts vom 8. September 2010, LS ZH 211.11).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