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UE120191 vom 2. März 2013</w:t>
      </w:r>
    </w:p>
    <w:p>
      <w:r>
        <w:t>ZH Obergericht, 2013-03-02, DE</w:t>
      </w:r>
    </w:p>
    <w:p>
      <w:r>
        <w:rPr>
          <w:b/>
        </w:rPr>
        <w:t xml:space="preserve">Quelle: </w:t>
      </w:r>
      <w:r>
        <w:t>https://mcp.opencaselaw.ch/entscheid/zh_obergericht_UE120191</w:t>
      </w:r>
    </w:p>
    <w:p>
      <w:r>
        <w:t>FR: ZH_OBERGERICHT UE120191 du 2 mars 2013</w:t>
      </w:r>
    </w:p>
    <w:p>
      <w:r>
        <w:t>IT: ZH_OBERGERICHT UE120191 del 2 marzo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Schreiben vom 16. September 2011 liess A._____ (nachfolgend: Be- schwerdeführer) bei der Staatsanwaltschaft I des Kantons Zürich (nachfolgend: Staatsanwaltschaft) Strafanzeige erstatten wegen Amtsmissbrauchs, einfacher Körperverletzung, eventuell Tätlichkeit und Sachbeschädigung, begangen am</w:t>
      </w:r>
    </w:p>
    <w:p>
      <w:r>
        <w:rPr>
          <w:b/>
        </w:rPr>
        <w:t>E. 4</w:t>
      </w:r>
    </w:p>
    <w:p>
      <w:r>
        <w:t>September 2011 durch vier Polizeibeamte der Stadtpolizei Zürich – B._____ (Beschwerdegegnerin 1), C._____ (Beschwerdegegner 2), D._____ (Beschwer- degegner 3) und E._____ (Beschwerdegegner 4) – und stellte die entsprechen- den Strafanträge (vgl. Urk. 13/1). Mit Schreiben vom 3. April 2012 liess er zudem um Prüfung des Tatbestandes der Freiheitsberaubung und Ausdehnung der Un- tersuchung auf das involvierte Personal der Zentralen Ausnüchterungszelle (ZAS), die politisch Verantwortlichen sowie die Vorgesetzten der Polizeibeamten und der ZAS-Mitarbeiter ersuchen (Urk. 13/5/6). Mit Beschluss vom 23. April 2012 erteilte das Obergericht des Kantons Zürich die Ermächtigung zur Strafverfolgung gegen die Beschwerdegegner 1-4 (Untersuchungseröffnung/Nichtanhandnahme; Urk. 13/7/3). Mit Verfügung vom 8. August 2012 entschied sodann die Staatsan- waltschaft, dass eine Untersuchung nicht anhand genommen werde (Urk. 3 = Urk. 13/6 = Urk. 14). Dagegen liess der Beschwerdeführer mit Eingabe vom 20. August 2012 fristgerecht Beschwerde erheben und beantragen, es sei die Nichtanhandnahmeverfügung aufzuheben und die Staatsanwaltschaft zu ver- pflichten, eine Strafuntersuchung gegen diejenigen Personen durchzuführen, die für die Festnahme und Verletzung des Beschwerdeführers und die zwangsweise Verbringung und Festhaltung in der ZAS verantwortlich seien; unter Kosten- und Entschädigungsfolgen zu Lasten der Staatsanwaltschaft. Im Weiteren liess er um unentgeltliche Prozessführung und Beigabe von Rechtsanwältin lic. iur. X._____ als unentgeltliche Rechtsbeiständin ersuchen (Urk. 2). 2. Mit Verfügung vom 24. August 2012 wurde den Beschwerdegegnern 1-4 sowie der Staatsanwaltschaft Frist zur (freigestellten) Stellungnahme angesetzt (Urk. 6 = Prot. S. 2 f.). Die Beschwerdegegner 1-4 liessen sich innert Frist nicht</w:t>
      </w:r>
    </w:p>
    <w:p>
      <w:r>
        <w:t>- 3 - vernehmen. Die Staatsanwaltschaft beantragt in ihrer Stellungnahme vom</w:t>
      </w:r>
    </w:p>
    <w:p>
      <w:r>
        <w:rPr>
          <w:b/>
        </w:rPr>
        <w:t>E. 7</w:t>
      </w:r>
    </w:p>
    <w:p>
      <w:r>
        <w:t>Zusammenfassend ist festzuhalten, dass kein hinreichender Tatverdacht für ein strafrechtlich relevantes Verhalten der Beschwerdegegner 1-4 besteht, wel- cher die Einleitung eines Strafverfahrens rechtfertigen würde. Die Nichtanhand- nahme der Untersuchung durch die Staatsanwaltschaft ist damit nicht zu bean- standen. Demgemäss ist die Beschwerde abzuweisen. III. Ausgangsgemäss sind die Kosten des Beschwerdeverfahrens dem Be- schwerdeführer aufzuerlegen (Art. 428 Abs. 1 StPO). Angesichts der Bedeutung und der Schwierigkeit des Falls sowie des Zeitaufwands ist die Gerichtsgebühr auf Fr. 1'000.– festzusetzen (§ 17 Abs. 1 i.V.m. § 2 Abs. 1 der Gebührenverord- nung des Obergerichts vom 8. September 2010, LS ZH 211.11). Mangels erhebli- cher Umtriebe ist den Beschwerdegegnern 1-4 keine Entschädigung auszurich- ten.</w:t>
      </w:r>
    </w:p>
    <w:p>
      <w:r>
        <w:t>- 14 -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