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UE120090 vom 7. Februar 2013</w:t>
      </w:r>
    </w:p>
    <w:p>
      <w:r>
        <w:t>ZH Obergericht, 2013-02-07, DE</w:t>
      </w:r>
    </w:p>
    <w:p>
      <w:r>
        <w:rPr>
          <w:b/>
        </w:rPr>
        <w:t xml:space="preserve">Quelle: </w:t>
      </w:r>
      <w:r>
        <w:t>https://mcp.opencaselaw.ch/entscheid/zh_obergericht_UE120090</w:t>
      </w:r>
    </w:p>
    <w:p>
      <w:r>
        <w:t>FR: ZH_OBERGERICHT UE120090 du 7 février 2013</w:t>
      </w:r>
    </w:p>
    <w:p>
      <w:r>
        <w:t>IT: ZH_OBERGERICHT UE120090 del 7 febbraio 2013</w:t>
      </w:r>
    </w:p>
    <w:p>
      <w:pPr>
        <w:pStyle w:val="Heading2"/>
      </w:pPr>
      <w:r>
        <w:t>Erwägungen</w:t>
      </w:r>
    </w:p>
    <w:p>
      <w:r>
        <w:rPr>
          <w:b/>
        </w:rPr>
        <w:t>E. 1</w:t>
      </w:r>
    </w:p>
    <w:p>
      <w:r>
        <w:t>Mit Schreiben vom 18. Februar 2012 erstatteten A._____ und B._____ (nach- folgend Beschwerdeführer 1 und 2) bei der Staatsanwaltschaft I des Kantons Zü- rich (Beschwerdegegnerin) gemeinsam Strafanzeige gegen teilweise namentlich erwähnte Mitarbeiter des F._____ und der G._____ wegen Widerhandlung gegen das Urheberrechtsgesetz etc. (Urk. 14/1-2). Der mit der Verfahrensführung be- traute Staatsanwalt lic. iur. Manfred Hausherr von der genannten Staatsanwalt- schaft nahm die Untersuchung mit Verfügung vom 13. März 2012 nicht anhand (Urk. 14/3 bzw. 11). Gegen diese Verfügung erhoben A._____ und B._____ Be- schwerde bei der hiesigen Kammer (Urk. 2). In der Beschwerde stellten sie zu- dem ein Ausstandsgesuch gegen Staatsanwalt Hausherr.</w:t>
      </w:r>
    </w:p>
    <w:p>
      <w:r>
        <w:rPr>
          <w:b/>
        </w:rPr>
        <w:t>E. 2</w:t>
      </w:r>
    </w:p>
    <w:p>
      <w:r>
        <w:t>Da Beschwerde und Ausstandsgesuch zwei Geschäftskategorien des Oberge- richts betreffen, und die Kammer - anders als über die Beschwerde - als erste In- stanz entscheidet, wurden zwei Geschäfte angelegt (UE120090 und UA120017). Mit Beschuss vom 5. Oktober 2012 wurde auf das Ausstandsgesuch zufolge Ver- spätung nicht eingetreten (Urk. 31). Dieser Beschluss blieb unangefochten. 3.1 Im Rahmen der Prozessleitung bezüglich des Beschwerdeverfahrens wurde den Beschwerdeführern eine Nachfrist angesetzt, um eine Vollmacht des Be- schwerdeführers 2 an den Beschwerdeführer 1 oder ein Doppel der Beschwerde- schrift mit Originalunterschrift des Beschwerdeführers 2 unter Bezeichnung eines Zustellungsdomizils in der Schweiz einzureichen (Urk. 7). Dieser Aufforderung wurde innert Frist nachgekommen (Urk. 9 f.). 3.2 Die Beschwerdeführer beantragen die Aufhebung der angefochtenen Verfü- gung und die Anweisung an die Beschwerdegegnerin, eine Untersuchung anhand zu nehmen (Urk. 2 S. 1). Die Beschwerdegegnerin beantragt in ihrer Stellung- nahme zur Beschwerde deren vollumfängliche Abweisung (Urk. 16). Die Be- schwerdeführer hielten in der Replik an den gestellten Anträgen fest (Urk. 19). Staatsanwalt Hausherr liess sich in der Folge zum Ausstandsbegehren verneh-</w:t>
      </w:r>
    </w:p>
    <w:p>
      <w:r>
        <w:t>- 3 - men (Urk. 24). Zu dieser Eingabe äusserten sich die Beschwerdeführer (Urk. 27). Von Seiten der Beschwerdegegnerin ging keine Eingabe mehr ein (vgl. Urk. 29 f.). Die Sache erweist sich demnach als spruchreif.</w:t>
      </w:r>
    </w:p>
    <w:p>
      <w:r>
        <w:rPr>
          <w:b/>
        </w:rPr>
        <w:t>E. 4</w:t>
      </w:r>
    </w:p>
    <w:p>
      <w:r>
        <w:t>Im Zusammenhang mit der Frage der Rechtzeitigkeit der Beschwerde ist Fol- gendes festzuhalten: Die Beschwerdegegnerin hat in der angefochtenen Verfü- gung ausgeführt, die Beschwerdeführer seien nicht Geschädigte, weshalb sie nicht zur Ergreifung von Rechtsmitteln legitimiert seien; die Verfügung sei dem Beschwerdeführer 1 (auch für den Beschwerdeführer 2) daher erst nach Eintritt der Rechtskraft zuzustellen (Urk. 11 passim, insb. Ziff. 5). Dem Beschwerdeführer 1 wurde die Nichtanhandnahmeverfügung am 4. April 2012 zugestellt (Urk. 14/9/2). Die Rechtsauffassung der Beschwerdegegnerin ist dann grundsätz- lich zutreffend, wenn den Beschwerdeführern keine Geschädigtenstellung zu- kommt (vgl. unten Erw. II/3.1-2). Die Beschwerdeführer machen - worauf noch zu- rückzukommen sein wird - geltend, sie seien entgegen der in der angefochtenen Verfügung vertretenen Ansicht Geschädigte im vorliegenden Strafverfahren. Wäre dem so, wäre ihnen die Verfügung nach Erlass (und nicht erst nach Eintritt der Rechtskraft) zuzustellen gewesen, und es käme ihnen grundsätzlich die Rechts- mittellegitimation zu. Es kann ihnen daher nicht entgegengehalten werden, die Verfügung sei in Rechtskraft erwachsen. Vielmehr hatten sie innert zehn Tagen nach Zustellung der Verfügung an sie das Recht, Beschwerde zu erheben und darin (auch) zu rügen, die Beschwerdegegnerin habe ihnen zu Unrecht die Ge- schädigtenstellung abgesprochen. Die Thematik in rechtlicher Hinsicht anders zu beurteilen würde bedeuten, dass eine Person, welcher zu Unrecht die Geschä- digtenstellung abgesprochen wird, sich dagegen nicht zur Wehr setzen könnte, was rechtsstaatlichen Grundsätzen widersprechen würde. Davon geht zumindest bezüglich des Beschwerdeführers 2 nachträglich offensichtlich auch die Be- schwerdegegnerin aus (vgl. Urk. 14/8 S. 2). Da die Beschwerde innert zehn Ta- gen nach Zustellung an den Beschwerdeführer 1 zur Post gegeben wurde, gilt sie als rechtzeitig erhoben.</w:t>
      </w:r>
    </w:p>
    <w:p>
      <w:r>
        <w:rPr>
          <w:b/>
        </w:rPr>
        <w:t>E. 5</w:t>
      </w:r>
    </w:p>
    <w:p>
      <w:r>
        <w:t>Die Kosten wären an sich den unterliegenden Beschwerdeführern je zur Hälfte unter solidarischer Haftbarkeit aufzuerlegen (Art. 428 Abs. 1 StPO, Art. 418 Abs. 1 und Abs. 2 StPO). Da für sie die Frage, ob sie zur Beschwerde legitimiert sind, nicht ganz einfach zu beurteilen war, und ihnen (insbesondere dem Be- schwerdeführer 2) insofern ein gewisses berechtigtes Interesse an der Beschwer- deerhebung nicht abzusprechen ist, und ihnen im konnexen (primär aus register- technischen Gründen getrennt geführten) Verfahren UA120017 bereits Kosten auferlegt wurden, rechtfertigt es sich ausnahmsweise, von einer Kostenauferle- gung abzusehen. Anspruch auf eine Entschädigung haben sie jedoch nicht.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