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UE120049 vom 14. Januar 2013</w:t>
      </w:r>
    </w:p>
    <w:p>
      <w:r>
        <w:t>ZH Obergericht, 2013-01-14, DE</w:t>
      </w:r>
    </w:p>
    <w:p>
      <w:r>
        <w:rPr>
          <w:b/>
        </w:rPr>
        <w:t xml:space="preserve">Quelle: </w:t>
      </w:r>
      <w:r>
        <w:t>https://mcp.opencaselaw.ch/entscheid/zh_obergericht_UE120049</w:t>
      </w:r>
    </w:p>
    <w:p>
      <w:r>
        <w:t>FR: ZH_OBERGERICHT UE120049 du 14 janvier 2013</w:t>
      </w:r>
    </w:p>
    <w:p>
      <w:r>
        <w:t>IT: ZH_OBERGERICHT UE120049 del 14 gennaio 2013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Am 22. März 2011 erstattete A._____ Strafanzeige und stellte Strafantrag gegen B._____ und Unbekannt wegen übler Nachrede (Art. 173 StGB) und unlauteren Wettbewerbs (Art. 3 lit. a i.V.m. Art. 23 UWG) bei der Staatsanwaltschaft Emmental-Oberaargau. Im C._____ vom 1. März 2010 habe A._____ einen Artikel zum Thema "Minarettverbot: …" veröffentlicht. B._____ habe in der Folge einen Artikel verfasst mit dem Titel "Minarettverbot: … - Antwort auf den C._____ von A._____". Dieser Artikel sei einem Journalisten zugestellt worden. Das Aktionskomitee "D._____" (D._____) habe den Artikel von B._____ im Internet veröffentlicht. Der Artikel enthalte rufschädigende Äusserungen und sei unnötig verletzend (Urk. 9/1). Am 31. März 2011 ergänzte A._____ die Strafanzeige. E._____, der Geschäftsführer des D._____, habe sich geweigert, den Artikel von der Website des Aktionskomitees zu nehmen. Es sei zu prüfen, ob sich E._____ der Nichtverhinderung einer strafbaren Veröffentlichung (Art. 322bis StGB) strafbar gemacht habe (Urk. 9/3).</w:t>
      </w:r>
    </w:p>
    <w:p>
      <w:r>
        <w:rPr>
          <w:b/>
        </w:rPr>
        <w:t>E. 2</w:t>
      </w:r>
    </w:p>
    <w:p>
      <w:r>
        <w:t>Im September 2011 übernahm die Staatsanwaltschaft See/Oberland das Strafverfahren gegen B._____ (Urk. 9/15 und Urk. 9/36). Am 21. Februar 2012 stellte sie das Verfahren ein (Urk. 3/1).</w:t>
      </w:r>
    </w:p>
    <w:p>
      <w:r>
        <w:rPr>
          <w:b/>
        </w:rPr>
        <w:t>E. 3</w:t>
      </w:r>
    </w:p>
    <w:p>
      <w:r>
        <w:t>A._____ erhebt Beschwerde beim Obergericht des Kantons Zürich (Urk. 2). Er beantragt die Aufhebung der Einstellungsverfügung. Die Staatsanwaltschaft sei anzuweisen, die Strafverfolgung gegen B._____ weiterzuführen und den von A._____ am 13. Januar 2012 gestellten Beweisanträgen Folge zu leisten. Der Beschwerde sei hinsichtlich der Rechtshängigkeit der mit der Strafanzeige gestellten Zivilforderungen aufschiebende Wirkung zuzuerkennen.</w:t>
      </w:r>
    </w:p>
    <w:p>
      <w:r>
        <w:t>- 3 - Mit Verfügung vom 13. März 2012 erteilte die Verfahrensleitung des Obergerichts der Beschwerde hinsichtlich der Rechtshängigkeit der mit der Strafanzeige gestellten Zivilforderungen aufschiebende Wirkung und lud B._____ zur freigestellten Stellungnahme ein (Urk. 5). Die Verfügung konnten B._____ nicht zugestellt werden (Urk. 6/1). Die Staatsanwaltschaft hat sich vernehmen lassen. Sie beantragt die Abweisung der Beschwerde (Urk. 7). Mit Schreiben vom 4. April 2012 ergänzte A._____ seine Beschwerde (Urk. 10). Das Schreiben wurde der Staatsanwaltschaft und B._____ zur Stellungnahme zugestellt (Urk. 14/2 und Urk. 15). Am 20. August 2012 nahm A._____ zur Vernehmlassung der Staatsanwaltschaft Stellung (Urk. 23). Diese Stellungnahme wurde B._____ zur freigestellten Äusserung zugestellt (Urk. 26).</w:t>
      </w:r>
    </w:p>
    <w:p>
      <w:r>
        <w:rPr>
          <w:b/>
        </w:rPr>
        <w:t>E. 4</w:t>
      </w:r>
    </w:p>
    <w:p>
      <w:r>
        <w:t>Als Folge der geänderten Konstituierung der Kammer ist die angekündigte voraussichtliche Zusammensetzung des Gerichtes angepasst worden. II.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