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UE120006 vom 24. Februar 2012</w:t>
      </w:r>
    </w:p>
    <w:p>
      <w:r>
        <w:t>ZH Obergericht, 2012-02-24, DE</w:t>
      </w:r>
    </w:p>
    <w:p>
      <w:r>
        <w:rPr>
          <w:b/>
        </w:rPr>
        <w:t xml:space="preserve">Quelle: </w:t>
      </w:r>
      <w:r>
        <w:t>https://mcp.opencaselaw.ch/entscheid/zh_obergericht_UE120006</w:t>
      </w:r>
    </w:p>
    <w:p>
      <w:r>
        <w:t>FR: ZH_OBERGERICHT UE120006 du 24 février 2012</w:t>
      </w:r>
    </w:p>
    <w:p>
      <w:r>
        <w:t>IT: ZH_OBERGERICHT UE120006 del 24 febbraio 2012</w:t>
      </w:r>
    </w:p>
    <w:p>
      <w:pPr>
        <w:pStyle w:val="Heading2"/>
      </w:pPr>
      <w:r>
        <w:t>Erwägungen</w:t>
      </w:r>
    </w:p>
    <w:p>
      <w:r>
        <w:rPr>
          <w:b/>
        </w:rPr>
        <w:t>E. 1</w:t>
      </w:r>
    </w:p>
    <w:p>
      <w:r>
        <w:t>Am 8. September 2011 erstattete A._____ (nachfolgend Beschwerdeführe- rin) Anzeige gegen B._____ (nachfolgend Beschwerdegegner 1) und C._____ be- treffend Betrug im Sinne von Art. 146 StGB und Missbrauch von Lohnabzügen im Sinne von Art. 159 StGB (Urk. 7/1 S. 4). Nach durchgeführter polizeilicher Befragung der Beschwerdeführerin sowie des Beschwerdegegners 1 und von C._____ (Urk. 7/5-9) verfügte die Staatsanwalt- schaft Zürich-Sihl (nachfolgend Beschwerdegegnerin 2) am 19. Dezember 2011 Nichtanhandnahme einer Untersuchung betreffend Betrug und Überweisung der Akten an das Stadtrichteramt Zürich zur weiteren Veranlassung betreffend den Vorwurf geringfügigen Missbrauchs von Lohnabzügen im Sinne von Art. 159 StGB in Verbindung mit Art. 172ter Abs. 1 StGB (Urk. 3). Gegen die Verfügung der Beschwerdegegnerin 2 vom 19. Dezember 2011 erhob die Beschwerdeführerin fristgerecht mit Eingabe vom 5. Januar 2012 Beschwerde (Urk. 2). Die Beschwerde richtet sich lediglich gegen die Nichtanhandnahme be- treffend den Beschwerdegegner 1, nicht betreffend C._____. Innert der mit Präsidialverfügung vom 1. Februar 2012 dafür angesetzten Frist haben die Beschwerdegegner auf Stellungnahme zur Beschwerde verzichtet (Urk. 5).</w:t>
      </w:r>
    </w:p>
    <w:p>
      <w:r>
        <w:rPr>
          <w:b/>
        </w:rPr>
        <w:t>E. 2</w:t>
      </w:r>
    </w:p>
    <w:p>
      <w:r>
        <w:t>Die Beschwerdeführerin macht geltend, der Beschwerdegegner 1 habe als Vertreter der Z._____ GmbH mit ihr einen Arbeitsvertrag als Bardame abge- schlossen. Im Juni 2010 und Juli 2010, den ersten beiden Monaten ihrer Arbeits- tätigkeit, habe sie den Lohn bar ausbezahlt erhalten. Nachher habe sie keinen Lohn mehr erhalten. Per Ende September 2010 habe sie die Kündigung bekom- men. Der Beschwerdegegner 1 habe ihr für August und September 2010 den Lohn nicht bezahlt, es seien Fr. 2'850.-- ausstehend (Urk. 7/9 S. 3). Ihr Ehemann habe ihr gesagt, der Beschwerdegegner habe schon von Anfang an gewusst, dass er sie nicht bezahlen könne bzw. wolle (Urk. 7/9 S. 4). In ihrer Beschwerde- schrift wirft sie dem Beschwerdegegner 1 vor, er habe schon mehrfach Bardamen</w:t>
      </w:r>
    </w:p>
    <w:p>
      <w:r>
        <w:t>- 3 - angestellt und nicht bezahlt, dies gehe aus dem Betreibungsauszug hervor. Die Arglist liege darin begründet, dass der Beschwerdegegner 1 der Bardame jeweils ein bis zwei Monate den Lohn bezahle und sie im Glauben lasse, dass er zah- lungsfähig sei. Der Beschwerdegegner habe immer wieder zu verschiedenen Zeitpunkten über mehrere Monate (bis zu einem Jahr) hinweg Zahlungen nicht geleistet. Der Beschwerdegegner 1 machte in der polizeilichen Befragung vom 23. Novem- ber 2011 geltend, die Beschwerdeführerin habe den Lohn erhalten. Er lasse nie- manden arbeiten mit dem Willen, den verdienten Lohn nicht zu bezahlen (Urk. 7/7 S. 3). Er bestritt sowohl den Vorwurf des Betruges als auch denjenigen betreffend Missbrauch von Lohnabzügen. Die Beschwerdegegnerin 2 begründet die Nichtanhandnahme einer Untersuchung betreffend Betrug damit, dass kein hinreichender Anfangsverdacht vorliege. Der Betreibungsregisterauszug betreffend die Z._____ GmbH sowie der Umstand, dass über diese Gesellschaft der Konkurs eröffnet wurde, belege, dass finanzielle Schwierigkeiten vorlagen und nicht genügend Aktiven vorhanden waren, um alle Verpflichtungen zu erfüllen. Die Behauptung, der Beschwerdegegner 1 habe von Beginn weg beabsichtigt, die Beschwerdeführerin nicht zu bezahlen, werde dadurch widerlegt, dass sie selber ausgesagt habe, für die Monate Juni und Juli 2010 die Arbeitslöhne erhalten zu haben. Aufgrund dieser Umstände lasse sich eine vorsätzliche arglistige Täuschung der Beschwerdeführerin nicht nachweisen, ansonsten bei Liquiditätsproblemen in einer Firma nicht erfolgte Lohnzahlungen als Betrug anzusehen wären, was nicht im Sinne des Gesetzgebers sei.</w:t>
      </w:r>
    </w:p>
    <w:p>
      <w:r>
        <w:rPr>
          <w:b/>
        </w:rPr>
        <w:t>E. 3</w:t>
      </w:r>
    </w:p>
    <w:p>
      <w:r>
        <w:t>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w:t>
      </w:r>
    </w:p>
    <w:p>
      <w:r>
        <w:t>- 4 -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 Vorliegend ist zu prüfen, ob hinsichtlich des Vorwurfes des Betruges ein hinrei- chender Tatverdacht im Sinne von Art. 309 Abs. 1 lit. a StPO besteht, oder viel- mehr im Sinne von Art. 310 Abs. 1 lit. a StPO feststeht, dass der Tatbestand des Betruges nicht erfüllt ist.</w:t>
      </w:r>
    </w:p>
    <w:p>
      <w:r>
        <w:rPr>
          <w:b/>
        </w:rPr>
        <w:t>E. 4</w:t>
      </w:r>
    </w:p>
    <w:p>
      <w:r>
        <w:t>Des Betruges im Sinne von Art. 146 StGB macht sich schuldig,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w:t>
      </w:r>
    </w:p>
    <w:p>
      <w:r>
        <w:t>- 5 - Die Beschwerdeführerin macht geltend, der Beschwerdegegner 1 sei arglistig vorgegangen, indem er ihr bei Abschluss des Arbeitsvertrages verschwiegen ha- be, dass er betreffend die Lohnzahlungen an sie nicht zahlungsfähig und zah- lungswillig sei. Über die fehlende Zahlungswilligkeit bzw. Zahlungsfähigkeit habe er bewusst hinweggetäuscht, indem er ihr zu Beginn des Arbeitsverhältnisses den Lohn bezahlt habe. Fehlender Zahlungswille kann zwar grundsätzlich Gegenstand einer Täuschung sein (G. Arzt in Basler Kommentar Strafrecht II, 2.A., N 34 zu Art. 146; BGE 102 IV 84; BGE 135 IV 79; BGE 125 IV 127), jedoch sprechen vorliegend verschiede- ne Umstände klar gegen eine Täuschung über seinen Erfüllungswillen durch den Beschwerdegegner 1. Insbesondere hat er der Beschwerdeführerin in den ersten beiden Monaten den Lohn bezahlt. Am 12. September 2010 hat er ferner mit so- fortiger Wirkung auf 7 Tage die Kündigung des Arbeitsverhältnisses ausgespro- chen und der Beschwerdeführerin mitgeteilt, sie müsse am 16. und 18. Septem- ber 2010 nicht mehr arbeiten, werde aber ausbezahlt (Urk. 7/3/5). Dieses Verhal- ten spricht sowohl gegen eine arglistige Täuschung als auch gegen eine Absicht unrechtmässiger Bereicherung, wäre doch kaum zu erwarten, dass der Be- schwerdegegner 1 das Arbeitsverhältnis kündigt und die Beschwerdeführerin mit der Verpflichtung zur Lohnzahlung freistellt, wenn er von der Arbeitsleistung der Beschwerdeführerin hätte profitieren und diese um ihren Lohn betrügen wollen. Die Beschwerdegegnerin 2 hat ausserdem zutreffend darauf hingewiesen, dass die Eröffnung des Konkurses über die Z._____ GmbH im Juni 2011 und der Be- treibungsregisterauszug belegen, dass finanzielle Schwierigkeiten bestanden und nicht genügend Aktiven vorhanden waren, um alle Verpflichtungen zu erfüllen. Die Beschwerdeführerin räumt denn auch ein, während ihrer Tätigkeit habe sie fest- gestellt, dass der Beschwerdegegner 1 immer wieder von Frauen angerufen wur- de, welche von ihm das geschuldete Geld wollten (Urk. 7/9 S. 2), was ebenfalls auf Liquiditätsprobleme hinweist und gegen eine arglistige Täuschung der Be- schwerdeführerin spricht. Mit der Beschwerdegegnerin 2 ist davon auszugehen, dass die Lohnzahlungen aufgrund von Liquiditätsproblemen unterblieben, was als rein zivilrechtliche Angelegenheit anzusehen ist.</w:t>
      </w:r>
    </w:p>
    <w:p>
      <w:r>
        <w:t>- 6 - Es bestehen keine Anhaltspunkte für arglistige Täuschung seitens des Beschwer- deführers über den Zahlungswillen oder über die Zahlungsfähigkeit.</w:t>
      </w:r>
    </w:p>
    <w:p>
      <w:r>
        <w:rPr>
          <w:b/>
        </w:rPr>
        <w:t>E. 5</w:t>
      </w:r>
    </w:p>
    <w:p>
      <w:r>
        <w:t>Da kein Anfangsverdacht betreffend Betrug vorliegt, der Straftatbestand des Betruges vielmehr eindeutig nicht erfüllt ist, und eine rein zivilrechtliche Angele- genheit vorliegt, hat die Beschwerdegegnerin 2 zu Recht Nichtanhandnahme ei- ner Untersuchung betreffend Betrug verfügt. Die Beschwerde ist daher abzuwei- sen.</w:t>
      </w:r>
    </w:p>
    <w:p>
      <w:r>
        <w:rPr>
          <w:b/>
        </w:rPr>
        <w:t>E. 6</w:t>
      </w:r>
    </w:p>
    <w:p>
      <w:r>
        <w:t>Gestützt auf Art. 428 Abs. 1 StPO wird die unterliegende Beschwerdeführe- rin für das Beschwerdeverfahren kostenpflichtig.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