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UE110147 vom 5. Oktober 2011</w:t>
      </w:r>
    </w:p>
    <w:p>
      <w:r>
        <w:t>ZH Obergericht, 2011-10-05, DE</w:t>
      </w:r>
    </w:p>
    <w:p>
      <w:r>
        <w:rPr>
          <w:b/>
        </w:rPr>
        <w:t xml:space="preserve">Quelle: </w:t>
      </w:r>
      <w:r>
        <w:t>https://mcp.opencaselaw.ch/entscheid/zh_obergericht_UE110147</w:t>
      </w:r>
    </w:p>
    <w:p>
      <w:r>
        <w:t>FR: ZH_OBERGERICHT UE110147 du 5 octobre 2011</w:t>
      </w:r>
    </w:p>
    <w:p>
      <w:r>
        <w:t>IT: ZH_OBERGERICHT UE110147 del 5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13. Juli 2011 (Urk. 3) nahm die Oberstaatsanwalt- schaft des Kantons Zürich die von A._____ mittels Strafanzeige verlangte Unter- suchung gegen diverse Personen des Bewährungs- und Vollzugsdienstes wegen Amtsmissbrauchs (?) nicht anhand. Kosten wurden nicht erhoben. Den Beschul- digten wurden weder Entschädigung noch Genugtuung ausgerichtet.</w:t>
      </w:r>
    </w:p>
    <w:p>
      <w:r>
        <w:rPr>
          <w:b/>
        </w:rPr>
        <w:t>E. 2</w:t>
      </w:r>
    </w:p>
    <w:p>
      <w:r>
        <w:t>Der Anzeigeerstatter, der die Verfügung der Oberstaatsanwaltschaft be- treffend die Nichtanhandnahme einer Strafuntersuchung am 20. Juli 2011 erhal- ten hat (handschriftlicher Vermerk auf Urk. 3, Urk. 23/5a), richtete nach Einrei- chung seiner Beschwerdeschrift vom 21. Juli 2011 (Urk. 2) samt diversen Beila- gen (Urk. 3 - 10) während laufender Beschwerdefrist noch insgesamt drei weitere Eingaben mit zahlreichen weiteren Beilagen an die Kammer (Urk. 2 - 10, 14 - 15, 18 und 20), wobei selbst nach deren eingehendem Studium nicht ersichtlich wird, in welchem Verhalten der von ihm angeschuldigten (Amts-) Personen konkret ei- ne (und welche) Straftat zu erblicken sei, und inwiefern und weshalb der Be- schwerdeführer mit der von ihm angefochtenen Verfügung bzw. deren Begrün- dung nicht einig geht. Die dem Beschwerdeführer mit Verfügung vom 18. August 2011 (Urk. 24) eingeräumte Frist zur Nachbesserung im Sinne von Art. 385 Abs. 2 Satz 1 StPO brachte keine Verbesserung diesbezüglich (Urk. 26). Die Eingaben des Beschwerdeführers genügen den Anforderungen von Art. 385 Abs. 1 StPO an eine Beschwerde allesamt in keiner Art und Weise und zwar weder einzeln noch gesamthaft betrachtet. Es ist daher nach Art. 385 Abs. 2 Satz 2 StPO vorzugehen und auf die Beschwerde nicht einzutreten.</w:t>
      </w:r>
    </w:p>
    <w:p>
      <w:r>
        <w:rPr>
          <w:b/>
        </w:rPr>
        <w:t>E. 3</w:t>
      </w:r>
    </w:p>
    <w:p>
      <w:r>
        <w:t>Der im Beschwerdeverfahren unterliegende Beschwerdeführer wird für das vorliegende Verfahren kostenpflichtig (Art. 428 Abs. 1 StPO).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