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UE110071 vom 11. November 2011</w:t>
      </w:r>
    </w:p>
    <w:p>
      <w:r>
        <w:t>ZH Obergericht, 2011-11-11, DE</w:t>
      </w:r>
    </w:p>
    <w:p>
      <w:r>
        <w:rPr>
          <w:b/>
        </w:rPr>
        <w:t xml:space="preserve">Quelle: </w:t>
      </w:r>
      <w:r>
        <w:t>https://mcp.opencaselaw.ch/entscheid/zh_obergericht_UE110071</w:t>
      </w:r>
    </w:p>
    <w:p>
      <w:r>
        <w:t>FR: ZH_OBERGERICHT UE110071 du 11 novembre 2011</w:t>
      </w:r>
    </w:p>
    <w:p>
      <w:r>
        <w:t>IT: ZH_OBERGERICHT UE110071 del 11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Beschwerdeführerin zur freigestellten Äusserung übermittelt (Urk. 19). Die Beschwerdeführerin hat nach einmal erstreckter Frist auf Äusserung verzichtet (Urk. 21 und 22).</w:t>
      </w:r>
    </w:p>
    <w:p>
      <w:r>
        <w:rPr>
          <w:b/>
        </w:rPr>
        <w:t>E. 2</w:t>
      </w:r>
    </w:p>
    <w:p>
      <w:r>
        <w:t>Im Rahmen eines Berufungsverfahrens vor der I. Zivilkammer des Ober- gerichts des Kantons Zürich betreffend vorsorgliche Massnahmen (Obhut, Be- suchsrecht, Kontakt- und Rayonverbot; LY110008-O) erklärte die Beschwerdefüh- rerin den Rückzug der Beschwerde zuhanden der hiesigen Strafkammer (Urk. 23). Die Erklärung ist gültig und der Rückzug gemäss Art. 386 Abs. 3 StPO ver- bindlich. Folglich ist das Beschwerdeverfahren als durch Rückzug erledigt abzu- schreiben.</w:t>
      </w:r>
    </w:p>
    <w:p>
      <w:r>
        <w:rPr>
          <w:b/>
        </w:rPr>
        <w:t>E. 3</w:t>
      </w:r>
    </w:p>
    <w:p>
      <w:r>
        <w:t>Ausgangsgemäss sind die Kosten des Beschwerdeverfahrens der Be- schwerdeführerin aufzuerlegen (§ 428 Abs. 1 StPO). Die Gerichtsgebühr ist auf Fr. 300.– festzusetzen (§ 17 Abs. 1 GebV OG). Dem Sinn des Vergleiches ent- sprechend sind keine Entschädigungen zuzusprechen (vgl. auch Urk. 24).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