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UE110001 vom 3. Juli 2012</w:t>
      </w:r>
    </w:p>
    <w:p>
      <w:r>
        <w:t>ZH Obergericht, 2012-07-03, DE</w:t>
      </w:r>
    </w:p>
    <w:p>
      <w:r>
        <w:rPr>
          <w:b/>
        </w:rPr>
        <w:t xml:space="preserve">Quelle: </w:t>
      </w:r>
      <w:r>
        <w:t>https://mcp.opencaselaw.ch/entscheid/zh_obergericht_UE110001</w:t>
      </w:r>
    </w:p>
    <w:p>
      <w:r>
        <w:t>FR: ZH_OBERGERICHT UE110001 du 3 juillet 2012</w:t>
      </w:r>
    </w:p>
    <w:p>
      <w:r>
        <w:t>IT: ZH_OBERGERICHT UE110001 del 3 luglio 2012</w:t>
      </w:r>
    </w:p>
    <w:p>
      <w:pPr>
        <w:pStyle w:val="Heading2"/>
      </w:pPr>
      <w:r>
        <w:t>Erwägungen</w:t>
      </w:r>
    </w:p>
    <w:p>
      <w:r>
        <w:rPr>
          <w:b/>
        </w:rPr>
        <w:t>E. 1</w:t>
      </w:r>
    </w:p>
    <w:p>
      <w:r>
        <w:t>Mit Eingabe vom 14. Dezember 2010 erstattete A._____ (nachfolgend: Be- schwerdeführer) Strafantrag gegen B._____ (nachfolgend: Beschwerdegegner 1) wegen Hausfriedensbruchs (Urk. 5/1). Mit Verfügung vom 3. Januar 2011 ent- schied die Staatsanwaltschaft Limmattal/Albis, eine Untersuchung werde nicht anhand genommen (Urk. 3).</w:t>
      </w:r>
    </w:p>
    <w:p>
      <w:r>
        <w:rPr>
          <w:b/>
        </w:rPr>
        <w:t>E. 2</w:t>
      </w:r>
    </w:p>
    <w:p>
      <w:r>
        <w:t>Am 17. Januar 2011 liess Rechtsanwalt lic. iur. X._____ (nachfolgend: Rechtsanwalt X._____) dem Obergericht des Kantons Zürich per Fax namens des Beschwerdeführers eine (handschriftliche) Beschwerdeschrift zukommen mit ei- ner "Kurzbegründung" und dem Antrag, die Nichtanhandnahmeverfügung sei auf- zuheben. Dazu bemerkte er, er werde eine Vollmacht "postwendend" nach- reichen. Ausserdem bat er darum, ihm 10 Tage Zeit zu geben, um die Beschwer- de zu ergänzen (Urk. 2). In der Folge wurde aber dem Gericht weder umgehend eine Vollmacht nachgereicht noch ging innert 10 Tagen eine Beschwerdeergän- zung ein. Am 28. Januar 2011 wurde Rechtsanwalt X._____ deshalb telefonisch aufgefordert, eine original unterschriebene Beschwerdeschrift und eine Vollmacht einzureichen (Prot. S. 2). Da in der Folge aber keine Eingaben eingingen, wurde Rechtsanwalt X._____ schliesslich mit Verfügung vom 17. Februar 2011 eine Nachfrist angesetzt, um der hiesigen Kammer mitzuteilen, ob seine Ausführungen in der Faxeingabe als Fristwiederherstellungsgesuch zu verstehen seien, und um eine Vollmacht einzureichen (Urk. 6). Mit Eingabe vom 7. März 2011 ersuchte Rechtsanwalt X._____ darum, seine Eingabe vom 17. Januar 2011 als Fristwie- derherstellungsgesuch zu betrachten, und führte aus, er habe keine inhaltlichen Ergänzungen zur Beschwerdebegründung. Weiter machte er in der Eingabe Er- gänzungen zu Akten, welche er - entgegen seiner Ankündigung in der Faxeinga- be - jedoch nie eingereicht hatte (Urk. 8). Gleichzeitig reichte Rechtsanwalt X._____ eine entsprechende Vollmacht des Beschwerdeführers ein (Urk. 9).</w:t>
      </w:r>
    </w:p>
    <w:p>
      <w:r>
        <w:t>- 3 -</w:t>
      </w:r>
    </w:p>
    <w:p>
      <w:r>
        <w:rPr>
          <w:b/>
        </w:rPr>
        <w:t>E. 3</w:t>
      </w:r>
    </w:p>
    <w:p>
      <w:r>
        <w:t>Mit Verfügung vom 11. April 2012 wurde dem Beschwerdegegner 1 und der Staatsanwaltschaft Frist angesetzt zur Stellungnahme (Urk. 11). Die Staatsan- waltschaft verzichtete am 16. April 2012 auf Stellungnahme (Urk. 13). Der Be- schwerdegegner 1 liess mit Eingabe vom 25. April 2012 Stellung nehmen und sinngemäss beantragen, es sei das Fristwiederherstellungsgesuch abzuweisen und auf die Beschwerde nicht einzutreten. Eventualiter sei die Beschwerde abzu- weisen (Urk. 14). Mit Eingabe vom 29. Mai 2012 erstattete der Beschwerdeführer innert erstreckter Frist Replik (Urk. 21). Die Staatsanwaltschaft verzichtete am</w:t>
      </w:r>
    </w:p>
    <w:p>
      <w:r>
        <w:rPr>
          <w:b/>
        </w:rPr>
        <w:t>E. 6</w:t>
      </w:r>
    </w:p>
    <w:p>
      <w:r>
        <w:t>In seiner Replik liess der Beschwerdeführer im Wesentlichen ausführen, er leite seine Berechtigung nicht aus einer Vormachtsstellung als Ehemann ab, son- dern aus dem "gemeinschaftlichen" Eigentum an der Liegenschaft (Urk. 21).</w:t>
      </w:r>
    </w:p>
    <w:p>
      <w:r>
        <w:rPr>
          <w:b/>
        </w:rPr>
        <w:t>E. 7</w:t>
      </w:r>
    </w:p>
    <w:p>
      <w:r>
        <w:t>In der Duplik liess der Beschwerdegegner 1 im Wesentlichen vorbringen, der Beschwerdeführer verkenne, dass der Tatbestand des Hausfriedensbruchs nicht das Rechtsgut des Eigentums schütze. Geschütztes Rechtsgut sei vielmehr das Hausrecht, worunter die Befugnis zu verstehen sei, über einen bestimmten Raum ungestört zu herrschen. Nachdem der Beschwerdeführer nicht mehr im Haus ge- wohnt habe, habe das Hausrecht zum massgeblichen Zeitpunkt ausschliesslich der Ehegattin zugestanden, unabhängig von der Eigentümerstellung des Be- schwerdeführers (Urk. 25).</w:t>
      </w:r>
    </w:p>
    <w:p>
      <w:r>
        <w:rPr>
          <w:b/>
        </w:rPr>
        <w:t>E. 8</w:t>
      </w:r>
    </w:p>
    <w:p>
      <w:r>
        <w:t>Des Hausfriedensbruchs macht sich unter anderem schuldig, wer gegen den Willen des Berechtigten in ein Haus oder eine Wohnung unrechtmässig eindringt (vgl. Art. 186 StGB). Berechtigter ist derjenige, dem die Verfügungsgewalt über die Räume zusteht, gleichgültig, ob sie auf einem dinglichen oder obligatorischen oder auf einem öffentlichrechtlichen Verhältnis beruht (BSK Strafrecht I- Delnon/Rüdy, Art. 186 N 15 mit Hinweis auf BGE 103 IV 162 und BGE 90 IV 74). Nicht massgebend sind die Eigentumsverhältnisse. So geniesst doch beispiels- weise auch ein Mieter einer Wohnung den Schutz des Hausrechts (vgl. BGE 83 IV 154 E. 1). Im vorliegenden Fall hielt sich der Beschwerdeführer nach eigenen Angaben zum Zeitpunkt, als der Beschwerdegegner 1 das Hausverbot missachtet haben soll, nicht mehr in der fraglichen Liegenschaft auf (vgl. Urk. 5/1). Ob es nun war, weil der Beschwerdeführer die Wohnung freiwillig verlassen hatte oder weil er mittels Massnahmen gemäss Gewaltschutzgesetz aus der Wohnung wegge- wiesen wurde, spielt keine Rolle. In jedem Fall verfügte der Beschwerdeführer zu den massgeblichen Zeitpunkten über keine Verfügungsgewalt mehr über die Wohnung und die Ehefrau durfte alleine bestimmen, wem sie den Zutritt erlaubt. Daran ändert auch nichts, wenn sich die Wegweisung nach dem Gewaltschutzge- setz im Nachhinein als ungerechtfertigt herausgestellt haben sollte. Auf den Bei- zug der diesbezüglichen Akten kann deshalb verzichtet werden. Der Tatbestand des Hausfriedensbruchs ist nicht erfüllt. Zudem war der Beschwerdeführer als Nichtberechtigter auch nicht zum Strafantrag legitimiert (vgl. BGE 87 IV 120). Die Nichtanhandnahmeverfügung erging folglich zu Recht. Dies führte zur Abweisung der Beschwerde.</w:t>
      </w:r>
    </w:p>
    <w:p>
      <w:r>
        <w:t>- 8 -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