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UB130091 vom 30. August 2013</w:t>
      </w:r>
    </w:p>
    <w:p>
      <w:r>
        <w:t>ZH Obergericht, 2013-08-30, DE</w:t>
      </w:r>
    </w:p>
    <w:p>
      <w:r>
        <w:rPr>
          <w:b/>
        </w:rPr>
        <w:t xml:space="preserve">Quelle: </w:t>
      </w:r>
      <w:r>
        <w:t>https://mcp.opencaselaw.ch/entscheid/zh_obergericht_UB130091</w:t>
      </w:r>
    </w:p>
    <w:p>
      <w:r>
        <w:t>FR: ZH_OBERGERICHT UB130091 du 30 août 2013</w:t>
      </w:r>
    </w:p>
    <w:p>
      <w:r>
        <w:t>IT: ZH_OBERGERICHT UB130091 del 30 agosto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Staatsanwaltschaft IV des Kantons Zürich (nachfolgend: Staatsan- waltschaft) führt gegen A._____ (nachfolgend: Beschwerdeführer) eine Strafun- tersuchung wegen Raubes, mehrfachen Diebstahls, mehrfachen Hausfriedens- bruchs, Sachbeschädigung und Vergehen gegen das Betäubungsmittelgesetz. Konkret wird ihm vorgeworfen, am 19. Juli 2011 zusammen mit dem Mitbeschul- digten B._____ und einem weiteren, unbekannten Täter in C._____ einen Raub- überfall zum Nachteil von D._____, E._____ und F._____ verübt und dabei letzt- lich Bargeld in der Höhe von rund Fr. 2'100.– erbeutet zu haben. Tags zuvor soll er bereits zusammen mit dem Mitbeschuldigten B._____ in die Wohnung von D._____ in C._____ eingebrochen sein, wobei ersterer vier Mobiltelefone und letzterer eine Tasche mit Münzen im Wert von rund Fr. 1'000.– mitgenommen ha- be. Sodann wird dem Beschwerdeführer ein mit dem Mitbeschuldigten B._____ und G._____ verübter Einbruchsversuch am 28. September 2011 in der Region … zum Nachteil von "H._____" zur Last gelegt. Überdies soll er am 4. Juni 2012 in C._____ zusammen mit dem Mitbeschuldigten B._____ einen Einbruchdieb- stahl zum Nachteil von I._____ (Lizenznehmer bei J._____) verübt und dabei Bargeld in der Höhe von rund Fr. 28'000.– erbeutet haben. Für Einzelheiten zu den verschiedenen Tatvorwürfen kann auf die Akten, insbesondere die Anklage- schrift vom 26. Juli 2013 (Urk. 9/1 = Urk. 13/48), verwiesen werden. Der Beschwerdeführer wurde erstmals am 3. Juli 2012 verhaftet (Urk. 13/HD 30/2 [nachfolgend werden Akten des Hauptdossiers nicht mehr speziell als solche bezeichnet]) und auf Antrag der Staatsanwaltschaft (Urk. 13/30/6) mit Verfügung des Zwangsmassnahmengerichts des Bezirks Zürich vom 5. Juli 2012 in Untersu- chungshaft versetzt (Urk. 13/30/8). Mit Verfügung vom 25. Juli 2012 wurde ein vom Beschwerdeführer gestelltes Haftentlassungsgesuch vom Zwangsmassnah- mengericht des Bezirks Zürich abgewiesen (Urk. 13/30/12). Am 27. August 2012 wurde der Beschwerdeführer von der Staatsanwaltschaft aus der Haft entlassen (Urk. 13/30/14). Am 1. Februar 2013 wurde er erneut verhaftet (Urk. 13/30/37)</w:t>
      </w:r>
    </w:p>
    <w:p>
      <w:r>
        <w:t>- 3 - und auf Antrag der Staatsanwaltschaft (Urk. 13/30/41) mit Verfügung des Zwangsmassnahmengerichts des Bezirks Zürich vom 2. Februar 2013 in Unter- suchungshaft versetzt (Urk. 13/30/42). Mit Verfügung vom 7. März 2013 wurde ein erstes Haftentlassungsgesuch des Beschwerdeführers vom Zwangsmassnah- mengericht des Bezirks Zürich abgewiesen (Urk. 13/30/47). Mit Verfügung vom 30. April 2013 wurde die Untersuchungshaft auf Antrag der Staatsanwaltschaft bis zum 30. Juli 2013 verlängert (Urk. 13/30/52+54). Am 25. Juli 2013 wurde ein wei- teres Haftentlassungsgesuch des Beschwerdeführers vom Zwangsmassnahmen- gericht des Bezirks Zürich abgewiesen und die Haft auf Antrag der Staatsanwalt- schaft (Urk. 13/30/58) bis zum 15. August 2013 verlängert (Urk. 13/30/62). Eine dagegen erhobene Beschwerde wurde von der hiesigen Strafkammer mit Be- schluss vom 13. August 2013 als gegenstandslos geworden erledigt abgeschrie- ben (UB130085, Urk. 9/8), nachdem die Staatsanwaltschaft am 6. August 2013 beim Bezirksgericht Dielsdorf Anklage gegen den Beschwerdeführer erhoben hat- te (Urk. 9/1 = Urk. 13/48) und der Beschwerdeführer vom Zwangsmassnahmen- gericht des Bezirks Dielsdorf (nachfolgend: Vorinstanz) mit Verfügung vom 9. Au- gust 2013 in Sicherheitshaft versetzt worden war. Diese wurde einstweilen bis</w:t>
      </w:r>
    </w:p>
    <w:p>
      <w:r>
        <w:rPr>
          <w:b/>
        </w:rPr>
        <w:t>E. 6</w:t>
      </w:r>
    </w:p>
    <w:p>
      <w:r>
        <w:t>Schlussfolgerung Zusammenfassend ist somit festzuhalten, dass sowohl ein dringender Tat- verdacht gegen den Beschwerdeführer als auch Fluchtgefahr bestehen und die Anordnung der Sicherheitshaft verhältnismässig ist. Eine Ersatzmassnahme er- scheint sodann nicht als ausreichend. Die Beschwerde erweist sich damit als un- begründet und ist abzuweisen. III. Kosten- und Entschädigungsfolgen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