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UB130088 vom 21. August 2013</w:t>
      </w:r>
    </w:p>
    <w:p>
      <w:r>
        <w:t>ZH Obergericht, 2013-08-21, DE</w:t>
      </w:r>
    </w:p>
    <w:p>
      <w:r>
        <w:rPr>
          <w:b/>
        </w:rPr>
        <w:t xml:space="preserve">Quelle: </w:t>
      </w:r>
      <w:r>
        <w:t>https://mcp.opencaselaw.ch/entscheid/zh_obergericht_UB130088</w:t>
      </w:r>
    </w:p>
    <w:p>
      <w:r>
        <w:t>FR: ZH_OBERGERICHT UB130088 du 21 août 2013</w:t>
      </w:r>
    </w:p>
    <w:p>
      <w:r>
        <w:t>IT: ZH_OBERGERICHT UB130088 del 21 agosto 2013</w:t>
      </w:r>
    </w:p>
    <w:p>
      <w:pPr>
        <w:pStyle w:val="Heading2"/>
      </w:pPr>
      <w:r>
        <w:t>Erwägungen</w:t>
      </w:r>
    </w:p>
    <w:p>
      <w:r>
        <w:rPr>
          <w:b/>
        </w:rPr>
        <w:t>E. 1</w:t>
      </w:r>
    </w:p>
    <w:p>
      <w:r>
        <w:t>Die Jugendanwaltschaft See/Oberland erliess am 22. Juli 2013 gegen A._____, geboren am tt.mm.1995, einen Strafbefehl betreffend Straftaten, die der Beschuldigte zu einem Zeitpunkt, in dem er das 18. Lebensjahr noch nicht erreicht hatte, mutmasslich begangen haben soll (Urk. 13/6/2). A._____ erhob gegen diesen Strafbefehl Einsprache. Das Verfahren ist der- zeit vor der Jugendanwaltschaft See/Oberland hängig. Am 2. August 2013 wurde A._____ auf Antrag der Staatsanwaltschaft See/Oberland vom Zwangsmassnahmengericht des Bezirks Meilen in Un- tersuchungshaft versetzt (Urk. 3/1). Dem Beschuldigten wird Diebstahl, Sachbeschädigung, Hausfriedensbruch und Widerhandlung gegen das Be- täubungsmittelgesetz vorgeworfen. Diese Delikte soll A._____ mutmasslich am 1. August 2013 begangen haben (Urk. 10/2).</w:t>
      </w:r>
    </w:p>
    <w:p>
      <w:r>
        <w:rPr>
          <w:b/>
        </w:rPr>
        <w:t>E. 2</w:t>
      </w:r>
    </w:p>
    <w:p>
      <w:r>
        <w:t>Am 6. August 2013 verfügte die Jugendanwaltschaft See/Oberland auf An- trag der Staatsanwaltschaft See/Oberland die Übernahme des Strafverfah- rens gegen A._____ mit der Begründung, dass sie gegen den Beschuldigten bereits eine Strafuntersuchung führe (Urk. 13/1/2 und 13/1/3).</w:t>
      </w:r>
    </w:p>
    <w:p>
      <w:r>
        <w:rPr>
          <w:b/>
        </w:rPr>
        <w:t>E. 3</w:t>
      </w:r>
    </w:p>
    <w:p>
      <w:r>
        <w:t>Mit Eingabe vom 9. August 2013 (Urk. 2) erhob A._____ bei der III. Straf- kammer des Obergerichts des Kantons Zürich Beschwerde und beantragte, die Haftverfügung des Zwangsmassnahmengerichts des Bezirks Meilen vom 2. August 2013 aufzuheben, den Antrag der Staatsanwaltschaft See/Oberland betreffend Anordnung der Untersuchungshaft abzuweisen und die Untersuchungshaft unverzüglich aufzuheben.</w:t>
      </w:r>
    </w:p>
    <w:p>
      <w:r>
        <w:rPr>
          <w:b/>
        </w:rPr>
        <w:t>E. 4</w:t>
      </w:r>
    </w:p>
    <w:p>
      <w:r>
        <w:t>Die Jugendanwaltschaft beantragte am 13. August 2013 (Eingang am 15. August 2013, Urk. 12), den Anträgen des Beschwerdeführers stattzugeben, da aufgrund des zur Zeit der Anordnung der Untersuchungshaft am 2. Au- gust 2013 noch hängigen Strafverfahrens bei der Jugendanwaltschaft we-</w:t>
      </w:r>
    </w:p>
    <w:p>
      <w:r>
        <w:t>- 3 - gen Straftaten, die der Beschwerdeführer vor Erreichen des 18. Lebensjah- res mutmasslich begangen habe, nach wie vor das Jugendstrafrecht gelte. Das Zwangsmassnahmengericht verzichtete am 13. August 2013 (Urk. 9) auf Stellungnahme.</w:t>
      </w:r>
    </w:p>
    <w:p>
      <w:r>
        <w:rPr>
          <w:b/>
        </w:rPr>
        <w:t>E. 5</w:t>
      </w:r>
    </w:p>
    <w:p>
      <w:r>
        <w:t>In Gutheissung der Beschwerde ist die angefochtene Verfügung des Zwangsmassnahmengerichts aufzuheben. Da der Beschwerdeführer aus der Haft entwichen ist, erweist sich das Haftentlassungsgesuch als gegen- standslos. Ausgangsgemäss sind die Kosten (einschliesslich die Kosten der amtlichen Verteidigung für diesen Verfahrensabschnitt) auf die Gerichtskasse zu neh- men (Art. 428 Abs. 1 StPO i.V.m. Art. 423 Abs. 1 StPO). Die Entschädigung der amtlichen Verteidigerin für ihre im Beschwerdeverfahren getätigten Auf- wendungen wird durch die Staatsanwaltschaft oder das urteilende Gericht am Ende des Strafverfahrens festzusetzen sein (Art. 135 Abs. 2 StPO).</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