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UA140024 vom 15. Januar 2015</w:t>
      </w:r>
    </w:p>
    <w:p>
      <w:r>
        <w:t>ZH Obergericht, 2015-01-15, DE</w:t>
      </w:r>
    </w:p>
    <w:p>
      <w:r>
        <w:rPr>
          <w:b/>
        </w:rPr>
        <w:t xml:space="preserve">Quelle: </w:t>
      </w:r>
      <w:r>
        <w:t>https://mcp.opencaselaw.ch/entscheid/zh_obergericht_UA140024</w:t>
      </w:r>
    </w:p>
    <w:p>
      <w:r>
        <w:t>FR: ZH_OBERGERICHT UA140024 du 15 janvier 2015</w:t>
      </w:r>
    </w:p>
    <w:p>
      <w:r>
        <w:t>IT: ZH_OBERGERICHT UA140024 del 15 gennaio 2015</w:t>
      </w:r>
    </w:p>
    <w:p>
      <w:pPr>
        <w:pStyle w:val="Heading2"/>
      </w:pPr>
      <w:r>
        <w:t>Erwägungen</w:t>
      </w:r>
    </w:p>
    <w:p>
      <w:r>
        <w:rPr>
          <w:b/>
        </w:rPr>
        <w:t>E. 1</w:t>
      </w:r>
    </w:p>
    <w:p>
      <w:r>
        <w:t>Gegen A._____ (hernach Gesuchsteller) erhob die Staatsanwaltschaft II des Kantons Zürich nach durchgeführter Untersuchung Anklage beim Bezirksge- richt Bülach wegen mehrfacher Widerhandlung gegen das Betäubungsmit- telgesetzt etc. In der Folge wurde seitens des Bezirksgerichts Bülach mit Verfügung vom 26. Mai 2014 zur Hauptverhandlung auf den 17. und 18. September 2014 sowie auf den 2. Oktober 2014 vorgeladen (Urk. 5 S. 3).</w:t>
      </w:r>
    </w:p>
    <w:p>
      <w:r>
        <w:rPr>
          <w:b/>
        </w:rPr>
        <w:t>E. 2</w:t>
      </w:r>
    </w:p>
    <w:p>
      <w:r>
        <w:t>Am 17. September 2014 ersuchten sowohl der amtliche wie der erbetene Verteidiger des Gesuchstellers Bezirksrichter lic. iur. B._____, Ersatzrichter lic. iur. C._____ sowie Gerichtsschreiber MLaw D._____ (hernach Verfah- rensbeteiligte 1-3) in den Ausstand zu treten (Urk. 4, S. 1; Urk. 5 S. 11 ff.).</w:t>
      </w:r>
    </w:p>
    <w:p>
      <w:r>
        <w:rPr>
          <w:b/>
        </w:rPr>
        <w:t>E. 2.1</w:t>
      </w:r>
    </w:p>
    <w:p>
      <w:r>
        <w:t>mit weiteren Hinweisen, BGE 134 I 238 E. 2.1 mit weiteren Hinweisen, Urteil des Bundesgerichts 1B_317/2011 vom 6. September 2011 E. 2, Ni- klaus Schmid, Handbuch des schweizerischen Strafprozessrechts, 2. Aufla- ge, Zürich / St. Gallen 2013, N 507 ff., BSK StPO-Boog, Art. 56 N 1-10 und N 54 ff.). Bei der Beurteilung, ob der Ablehnungsgrund der Befangenheit ge- geben ist, ist nicht auf das bloss subjektive Empfinden des Ablehnenden ab- zustellen. Es müssen Umstände vorliegen, welche nach objektiven Ge- sichtspunkten geeignet sind, den Anschein der Befangenheit zu erwecken. Der Nachweis der Befangenheit ist nicht notwendig; es genügt, wenn Um- stände vorliegen, die beim Betroffenen den Eindruck einer (wenn auch tat- sächlich nicht vorhandenen) Befangenheit erwecken. Dieser Eindruck darf indessen nicht leichthin angenommen werden, weil sonst der Rechtsgang</w:t>
      </w:r>
    </w:p>
    <w:p>
      <w:r>
        <w:t>- 9 - empfindlich gestört würde (Keller in: Donatsch/Hansjakob/Lieber, a.a.O., Art. 56 N 9). Allgemeine Verfahrensmassnahmen, seien sie nun richtig oder falsch, ver- mögen in der Regel als solche keine Voreingenommenheit der verfügenden Justizperson zu begründen. Verfahrens- oder Einschätzungsfehler, auch ei- gentliche Fehlentscheide in der Sache begründen für sich keine Befangen- heit. Ein Rückschluss aus Verfahrensfehlern auf mangelnde Objektivität zu- lasten der einen oder anderen Partei ist an sich nicht zulässig, denn Verfah- rensfehler oder Fehleinschätzungen kommen auf allen Ebenen der Justiz vor. Ein Ausstandsgrund liegt auch nicht darin, wenn der Richter einen für die Partei ungünstigen Entscheid erlässt, in rechtlicher Hinsicht eine dieser nicht genehme Ansicht vertritt, in seinem Aufgabenbereich Verfahrens- oder Ermessensfehler begeht, ja selbst willkürliche Prozesshandlungen trifft. Ins- besondere ist es nicht Sache des Ausstandsrichters, die Verfahrensführung in der Art einer Aufsichtsbehörde zu überprüfen (Keller in: Donatsch/ Hansjakob/Lieber, a.a.O., Art. 56 N 40 f. m.w.H.). Als Ausstandsgrund fallen nur besonders krasse oder ungewöhnlich häufige Versäumnisse und Mängel in Betracht, die einer schweren Amtspflichtverletzung gleichkommen und sich einseitig zulasten einer Prozesspartei auswirken (vgl. BGE 138 IV 142 E. 2.3 m.w.H.; Urteile des Bundesgerichts 1B_138/2013 vom 24. September 2013 E. 3.1, 1B_69/2013 vom 27. Juni 2013 E. 4.2 und 1B_11/2013 vom 11. März 2013 E. 2).</w:t>
      </w:r>
    </w:p>
    <w:p>
      <w:r>
        <w:rPr>
          <w:b/>
        </w:rPr>
        <w:t>E. 2.2</w:t>
      </w:r>
    </w:p>
    <w:p>
      <w:r>
        <w:t>Der erbetene Verteidiger begründet das Ausstandsbegehren gegen die Ver- fahrensbeteiligten 1-3 damit, diese seien gegen den Gesuchsteller parteiisch eingestellt. Es gehe um den Anschein der Befangenheit. Die Verfahrensbe- teiligten 1-3 hätten im Vorfeld der Verhandlung gegen die klaren Bestim- mungen über das Recht zur Akteneinsicht verstossen. Die Verfahrensbetei- ligten 1-3 hätten der Verteidigung die Einsichtnahme in alle verlangten Akten sämtlicher Mitbeschuldigter grundsätzlich und rigoros verwehrt und damit undiskutabel und offenkundig die Verteidigung benachteiligt, diese erschwert oder verunmöglicht resp. die Anklagebehörde bevorteilt. Es gehe insgesamt um die Verweigerung der Einsichtnahme in mindestens 24 Dossiers von Mitbeschuldigten oder sonst wie involvierten Drittpersonen. Es befinde sich kein einziges vollständiges Dossier eines Mitbeschuldigten im vorliegenden Aktenfundus. Das Beweisfundament gestalte sich resp. bleibe tendenziös. Die Verteidigung werde von der Möglichkeit, entlastende Momente in das Verfahren einzubringen, im eigentlichen Sinne abgeschnitten. Die Verfah- rensbeteiligten 1-3 erzeugten durch die Ungleichbehandlung von Anklage- behörden und Verteidigung angesichts der klaren gesetzlichen Regelung den Anschein von Parteilichkeit (Urk. 4; Urk. 5). In seiner Eingabe vom 24. November 2014 ergänzte der erbetene Verteidi- ger des Gesuchstellers, der amtliche Verteidiger und er hätten auf Grund der Bandaufnahme der Verhandlung ein Wortprotokoll erstellt, welches nahe le- ge, dass die Verhandlungsführung chaotisch und der Verfahrensbeteiligte 1 überfordert gewesen sei. Das Gericht habe in keiner Weise auch nur den Versuch unternommen, die in prägnanten Worten vorgebrachten Anliegen der Verteidigung zu verstehen. Sodann habe der Verfahrensbeteiligte 1 am Ende der Verhandlung versucht, die Verteidiger mit der Drohung von Sank- tionen zu zwingen, ihre Verteidigungsarbeit trotz dieser inkompetenten und nicht nachvollziehbaren Skizze des weiteren Vorgehens fortzuführen und im</w:t>
      </w:r>
    </w:p>
    <w:p>
      <w:r>
        <w:t>- 7 - Verhandlungssaal zu verbleiben. Der Verfahrensbeteiligte 1 sei seiner Für- sorgepflicht gegenüber dem Gesuchsteller nicht nachgekommen. Dem Ver- fahrensbeteiligten 1 werde vorgeworfen, die im Zentrum ihrer Ausführungen stehende prozessuale Problematik erkannt und gleichwohl nicht entspre- chend gehandelt zu haben. Diese Problematik bestehe darin, dass Staats- anwalt E._____ das Verfahren gegen den Gesuchsteller insofern gesäubert habe, als die Akten sämtlicher Mitbeschuldigter in separate Verfahren ver- wiesen und damit der Verteidigung vorenthalten gewesen seien. Die Akten sämtlicher Mitbeschuldigter gehörten zum Aktenfundus des vorliegenden Strafprozesses. Die Verteidigung habe zu keinem Zeitpunkt Einblick in das Zustandekommen des Beweisfundaments gehabt. Es könne nicht kontrolliert werden, welche Dokumente E._____ aus den 24 separaten Dossiers beige- zogen habe. Dieser Manipulation der Staatsanwaltschaft habe sich der Ver- fahrensbeteiligte 1 angeschlossen. Es sei nicht nachvollziehbar, dass sich das Gericht nicht veranlasst gesehen habe, von sich aus und von Amtes wegen diese Akten beizuziehen. In dieser Vereitelung der Akteneinsicht und Zumutung einen Pfusch zu begehen, sei der Anschein der Befangenheit oh- ne weiteres gegeben. Dieser unreflektierte Schulterschluss mit der Staats- anwaltschaft resp. dieses augenscheinliche Bemühen, die Verteidigung im ganz entscheidenden Moment einer umfassenden Akteneinsicht zu behin- dern, lasse auf Voreingenommenheit und eine zumindest unterschwellige feindselige Haltung gegenüber dem Gesuchsteller schliessen; es fehle an der inneren Unabhängigkeit und Unparteilichkeit (Urk. 18).</w:t>
      </w:r>
    </w:p>
    <w:p>
      <w:r>
        <w:rPr>
          <w:b/>
        </w:rPr>
        <w:t>E. 3</w:t>
      </w:r>
    </w:p>
    <w:p>
      <w:r>
        <w:t>Mit Schreiben vom 2. Oktober 2014 liessen die Verfahrensbeteiligten 1-3 das Ausstandsgesuch dem Obergericht des Kantons Zürich zukommen mit der Bemerkung, sie erachteten sich nicht als befangen (Urk. 2).</w:t>
      </w:r>
    </w:p>
    <w:p>
      <w:r>
        <w:rPr>
          <w:b/>
        </w:rPr>
        <w:t>E. 3.1</w:t>
      </w:r>
    </w:p>
    <w:p>
      <w:r>
        <w:t>Zunächst ist festzuhalten, dass ein Ausstandsgesuch begründet sein und der Gesuchsteller die den Ausstand begründenden Tatsachen glaubhaft machen muss. Es müssen die konkreten Tatsachen dargelegt werden, auf die sich die Ablehnung stützt. Insbesondere genügt es nicht, lediglich Ver- mutungen zu äussern. Auch kann es der Gesuchsteller nicht bei einer bloss behaupteten Darstellung belassen. Vielmehr muss er die Wahrscheinlichkeit dieser Gründe mittels Indizien oder Beweismitteln substantiieren. Aufgrund der Notwendigkeit eines raschen Ablaufs und des Ausschlusses eines Be- weisverfahrens ist die Glaubhaftmachung auf Schriftstücke und eine in sich</w:t>
      </w:r>
    </w:p>
    <w:p>
      <w:r>
        <w:t>- 8 - selbst glaubhafte Darstellung beschränkt (Keller, in: Donatsch/Hansjakob/ Lieber, Kommentar zur schweizerischen Strafprozessordnung, 2. Auflage Zürich-Basel-Genf 2014, Art. 58 N 9). Eine in der Strafbehörde tätige Person tritt insbesondere dann in den Ausstand, wenn sie an der Sache ein persön- liches Interesse hat (Art. 56 lit. a StPO). An dieser Stelle kann fest gehalten werden, dass ein irgendwie geartetes persönliches Interesse der Verfah- rensbeteiligten 1-3 nicht ersichtlich ist, so dass sich Weiterungen in diesem Zusammenhang erübrigen.</w:t>
      </w:r>
    </w:p>
    <w:p>
      <w:r>
        <w:rPr>
          <w:b/>
        </w:rPr>
        <w:t>E. 3.2</w:t>
      </w:r>
    </w:p>
    <w:p>
      <w:r>
        <w:t>Nach Art. 56 lit. f StPO tritt eine in einer Strafbehörde tätige Person in den Ausstand, wenn sie aus anderen (als in lit. a-e genannten) Gründen, insbe- sondere wegen Freundschaft oder Feindschaft mit einer Partei oder deren Rechtsbeistand, befangen sein könnte (Keller, in: Donatsch/Hansjakob/ Lieber, a.a.O., Art. 56 N 25). Unter Befangenheit wird allgemein die unsach- liche innere Einstellung des Justizbeamten zu den Beteiligten und zum Ge- genstand des konkreten Verfahrens verstanden, aus der heraus dieser in die Behandlung und Entscheidung des Falles auch unsachliche, sachfremde Elemente einfliessen lässt mit der Folge, dass er daraufhin (von der Sache her nicht gerechtfertigt) einen Prozessbeteiligten benachteiligt oder bevor- zugt oder doch zumindest dazu neigt (vgl. zum Ganzen BGE 137 I 227 E.</w:t>
      </w:r>
    </w:p>
    <w:p>
      <w:r>
        <w:rPr>
          <w:b/>
        </w:rPr>
        <w:t>E. 3.3</w:t>
      </w:r>
    </w:p>
    <w:p>
      <w:r>
        <w:t>In Bezug auf das Recht auf Akteneinsicht hält die bundesgerichtliche Recht- sprechung fest, dass in den Akten alles festgehalten werden muss, was zur Sache gehört. Das Akteneinsichtsrecht soll sicherstellen, dass der Beschul- digte als Verfahrenspartei von den Entscheidgrundlagen Kenntnis nehmen und sich wirksam und sachbezogen verteidigen kann. Die Wahrnehmung dieses Anspruchs setzt notwendig voraus, dass die Akten vollständig sind. In einem Strafverfahren bedeutet dies, dass die Beweismittel, jedenfalls so- weit sie nicht unmittelbar an der Hauptverhandlung erhoben werden, in den Untersuchungsakten vorhanden sein müssen und dass aktenmässig belegt</w:t>
      </w:r>
    </w:p>
    <w:p>
      <w:r>
        <w:t>- 10 - sein muss, wie sie produziert wurden, damit der Beschuldigte in der Lage ist zu prüfen, ob sie inhaltliche oder formale Mängel aufweisen, und gegebe- nenfalls Einwände gegen deren Verwertung erheben kann. Dies ist Voraus- setzung dafür, dass der Beschuldigte seine Verteidigungsrechte überhaupt wahrnehmen kann (vgl. zum Ganzen BGE 6B_1021/2013 Erw. 4.3 m.w.H.). Aus den Grundsätzen des fairen Verfahrens und des rechtlichen Gehörs ergibt sich für den Beschuldigten das grundsätzlich uneingeschränkte Recht, in alle für das Verfahren wesentlichen Akten Einsicht zu nehmen (vgl. zum Ganzen BGE 6B_1021/2013 Erw. 5.3 m.w.H.).</w:t>
      </w:r>
    </w:p>
    <w:p>
      <w:r>
        <w:rPr>
          <w:b/>
        </w:rPr>
        <w:t>E. 4</w:t>
      </w:r>
    </w:p>
    <w:p>
      <w:r>
        <w:t>Dem Protokoll der Hauptverhandlung vom 17. September 2014 ist zu ent- nehmen, dass der Antrag der Verteidigung auf Beizug der Akten seitens der Verfahrensbeteiligten 1-3 grundsätzlich gutgeheissen wurde. Es lasse sich nicht ausschliessen, dass sich aus diesen Akten entlastende Tatsachen zu- gunsten der beschuldigten Person ergeben könnten. Eine genügende Ver- teidigung sei aufgrund der vorliegenden Akten dennoch möglich (Urk. 5 S. 10). Anschliessend an die Befragung des Beschuldigten würden die Ak- ten seitens des Gerichts beigezogen (Urk. 5 S. 11). Die Verteidigung sei an- schliessend an die Hauptverhandlung und nach erfolgtem Aktenbeizug zur Stellung weiterer Beweisanträge befugt. Das Verfahren fände seinen Fort- gang. Ein Urteil werde nicht ergehen, bevor sich die Verteidigung nicht ein eingehendes Bild über die Akten der Mitbeteiligten habe machen können (Urk. 5 S. 15 ff.). 5.1 Dem vorliegenden Aktenmaterial sowie den Vorbringen der Vertreter des Gesuchstellers sind keine Anhaltspunkte zu entnehmen, welche besonders krasse oder ungewöhnlich häufige Versäumnisse oder Mängel im Verhalten der Verfahrensbeteiligten 1-3 belegen würden: So ist etwa der Vorwurf, der Verfahrensbeteiligte 1 handle faktisch als Einzelrichter und dulde anschei- nend keinen Widerspruch, nicht belegt, zumal das fragliche Dokument (Urk. 2) von allen Verfahrensbeteiligten unterzeichnet wurde und dem Proto- koll der Hauptverhandlung vom 17. September 2014 zu entnehmen ist, dass die im Rahmen der Verhandlung gefassten Entscheide – so etwa der bean-</w:t>
      </w:r>
    </w:p>
    <w:p>
      <w:r>
        <w:t>- 11 - tragte Aktenbeizug – von allen Verfahrensbeteiligten zusammen gefällt wur- den (Urk. 5 S. 10, S. 14, S. 17). Der Umstand, dass die Verfahrensbeteilig- ten 1-3 die persönliche Befragung des Beschuldigten anlässlich der Haupt- verhandlung vom 17. September 2014 dem Aktenbeizug vorziehen wollten, lässt für sich ebenfalls keinen Schluss auf eine Voreingenommenheit bzw. Befangenheit der Verfahrensbeteiligten 1-3 zu, zumal darin (noch) kein Hin- weis auf eine Verletzung des Anspruchs auf rechtliches Gehör o.ä. im oben dargelegten Sinn zu erblicken ist. Sodann lässt sich der Vorwurf, der Verfah- rensbeteiligte 2 habe auf einem völlig unvollständigen Aktenbestand ein Ur- teilsentwurf verfasst, aufgrund der vorliegenden Akten sowie der Eingaben der Verteidigung – da nicht ansatzweise belegt – nicht nachvollziehen. Im Übrigen liesse sich selbst bei Vorliegen eines entsprechenden "Entwurfs" kein Schluss darauf ziehen, der Verfasser habe sich diesbezüglich bereits endgültig festgelegt. Entsprechende Anschuldigungen sind ehrenrührig. 5.2 Es bleibt zu bemerken, dass die gesuchstellerischen Beanstandungen im Zusammenhang mit der Bearbeitungsdauer, der Zustellung der Aktenver- zeichnisse sowie der behaupteten "chaotischen" Verhandlungsführung und "Überforderung" des Verfahrensbeteiligten 1 die Voreingenommenheit bzw. Befangenheit der Verfahrensbeteiligten 1-3 ebenfalls nicht zu begründen vermögen bzw. nicht im vorliegenden Verfahren zu überprüfen sind. Diese Vorbringen wären an die dafür zuständige Aufsichtsbehörde zu richten und von dieser zu beurteilen. 5.3 Damit ergibt sich kein Ausstandsgrund für die Verfahrensbeteiligten 1-3 im Sinne der dargelegten Rechtsprechung, so dass nach dem Gesagten das Ausstandsgesuch abzuweisen ist.</w:t>
      </w:r>
    </w:p>
    <w:p>
      <w:r>
        <w:rPr>
          <w:b/>
        </w:rPr>
        <w:t>E. 6</w:t>
      </w:r>
    </w:p>
    <w:p>
      <w:r>
        <w:t>Inwieweit sich die Tatsache, dass die im vorliegenden Entscheid amtende Gerichtsbesetzung auf der gleichen Kammer wie der Verfahrensbeteiligte 2 tätig ist und mit diesem persönlich bekannt ist, problematisch sein soll, bleibt aufgrund der Vorbringen der Verteidigung unklar: Im vorliegenden Verfahren sind seine Handlungen als Richterperson im bezirksgerichtlichen Verfahren zu beurteilen und nicht seine Tätigkeit an der hiesigen Kammer oder aber</w:t>
      </w:r>
    </w:p>
    <w:p>
      <w:r>
        <w:t>- 12 - seine persönlichen Eigenschaften; der Verfahrensbeteiligte 2 amtet im be- zirksgerichtlichen Verfahren in einer völlig anderen Funktion als an der hie- sigen Kammer. Sodann ist aufgrund der Vorbringen der Verteidigung eben- so wenig erkennbar, inwiefern der Umstand, dass für die Behandlung des Ausstandsgesuchs bei der hiesigen Kammer dieselben Oberrichter zustän- dig sein sollen, problematisch sein soll. Im vorliegenden Entscheid sind im Wesentlichen Aspekte zu beurteilen, welche die urteilende Behörde betref- fen, wohingegen es in der Haftbeschwerde um die Handlungen des Ge- suchstellers und seiner Person an sich ging. III. Ausgangsgemäss hat der Gesuchsteller die Kosten des Ausstandsverfah- rens zu tragen (Art. 59 Abs. 4 Satz 2 StPO). In Anwendung von § 15 lit. d GebV OG ist die Gerichtsgebühr auf Fr. 1'000.– festzusetzen. Infolge Unter- liegens ist der Gesuchsteller für das vorliegende Verfahren nicht zu ent- schädigen.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