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UA130034 vom 9. Januar 2014</w:t>
      </w:r>
    </w:p>
    <w:p>
      <w:r>
        <w:t>ZH Obergericht, 2014-01-09, DE</w:t>
      </w:r>
    </w:p>
    <w:p>
      <w:r>
        <w:rPr>
          <w:b/>
        </w:rPr>
        <w:t xml:space="preserve">Quelle: </w:t>
      </w:r>
      <w:r>
        <w:t>https://mcp.opencaselaw.ch/entscheid/zh_obergericht_UA130034</w:t>
      </w:r>
    </w:p>
    <w:p>
      <w:r>
        <w:t>FR: ZH_OBERGERICHT UA130034 du 9 janvier 2014</w:t>
      </w:r>
    </w:p>
    <w:p>
      <w:r>
        <w:t>IT: ZH_OBERGERICHT UA130034 del 9 gennaio 2014</w:t>
      </w:r>
    </w:p>
    <w:p>
      <w:pPr>
        <w:pStyle w:val="Heading2"/>
      </w:pPr>
      <w:r>
        <w:t>Erwägungen</w:t>
      </w:r>
    </w:p>
    <w:p>
      <w:r>
        <w:rPr>
          <w:b/>
        </w:rPr>
        <w:t>E. 10</w:t>
      </w:r>
    </w:p>
    <w:p>
      <w:r>
        <w:t>Tagen statuiert war, enthielt der Entwurf zur StPO in Art. 56 Abs. 1 die Formu- lierung "unverzüglich … zu stellen". In der Botschaft zur Vereinheitlichung des Strafprozessrechts vom 21. Dezember 2005 wurde hierzu festgehalten, Art. 56 entspreche im Wesentlichen Art. 36 BGG (BBl 2006 S. 1149); gemäss dieser Norm ist das Ausstandsbegehren einzureichen, sobald die Partei vom Aus- standsgrund Kenntnis erhalten hat. Nach Praxis des Bundesgerichts (BGE 1B_203/2011 vom 18. Mai 2011 Erw. 2.1, und 6B_601/2011 vom 22. Dezember 2011 Erw. 1.2.1) und der Beschwerde- kammer des Bundesstrafgerichts (BB.2012.36 vom 23. Mai 2012, BB.2012.35 vom 27. April 2012, BB.2011.58 vom 10. Juni 2011, und BB.2011.23 vom 14. März 2011, Erw. 1.2) ist das Ausstands- bzw. Ablehnungsgesuch im Sinne von Art. 58 Abs. 1 StPO in den nächsten Tagen nach Kenntnis des Ausstandsgrundes zu stellen. Derjenige, der eine Gerichtsperson nicht unverzüglich ablehnt, sobald er vom Ablehnungsgrund Kenntnis erlangt, verwirkt seinen Ablehnungsanspruch (BGE 136 I 211 Erw. 3.4 und 134 I 21 Erw. 4.3.1; BGE 1B_203/2011 vom 18. Mai 2011 Erw. 2.1, und 1B_101/2011 vom 4. Mai 2011, Erw. 3; Beschlüsse des Bun- desstrafgerichts BB.2011.58 vom 10. Juni 2011, BB.2011.47 vom 31. Mai 2011 und BB.2011.23 vom 14. März 2011, Erw. 1.2). Die bundesgerichtliche Praxis, dass ein Ablehnungs- bzw. Ausstandsbegehren unverzüglich zu stellen ist, ent- spricht im Übrigen auch der zürcherischen Rechtsprechung zu den §§ 95 ff. GVG / ZH (vgl. etwa ZR 89 Nr. 94 Erw. IV S. 229 und 103 Nr. 31 Erw. II/3.2). Gemäss Bundesgericht ist das Stellen des Begehrens am 6. oder 7. Tag bzw. am 3. oder 4. Arbeitstag (BGE 6B_882/2008 vom 31. März 2009 Erw. 1.3, und 1B_499/2012 vom 7. November 2012 Erw. 2.3) bzw. innerhalb einer Woche (TPF 2007 Nr. 1 Erw. 2) nicht gemäss Treu und Glauben als verspätet zu erachten. Hingegen wurde vom Bundesgericht ein zwei- oder gar dreiwöchiges Abwarten mit der Stellung des Begehrens als verspätet qualifiziert (BGE 1P.457/2006 vom 19. September 2006 Erw. 3.1 a.A., und 1B_689/2012 vom 20. Dezember 2012 Erw. 3; vgl. auch Erw. 2.3 des erwähnten BGE vom 7. November 2012). Die I. Beschwerdekammer des Bundesstrafgerichts im erwähnten Entscheid vom 14.</w:t>
      </w:r>
    </w:p>
    <w:p>
      <w:r>
        <w:t>- 5 - März 2011 in Erw. 1.4 (BB.2011.23) und das Bundesgericht im Urteil 6B_192/2013 vom 10. Dezember 2013 in Erw. 2.2 haben unmissverständlich festgehalten, ein zwei Wochen nach Kenntnisnahme des Ausstandsgrundes ge- stelltes Begehren sei angesichts der Rechtsprechung als klar verspätet anzuse- hen. Die hiesige Kammer hat in den Beschlüssen vom 28. Juni 2011 in Erw. II/5.3 lit. d (UA110007), vom 5. Oktober 2012 in Erw. 3.3 lit. f (UA120017), vom 15. No- vember 2012 in Erw. IV/1 (UA120024), vom 10. Juni 2013 in Erw. 3.5 (UA130011) und vom 18. Juni 2013 in Erw. 3.5 lit. a (UA130018) festgehalten, dass jedenfalls bei einer Frist von zwei Wochen oder mehr nicht von einem "ohne Verzug" ge- stellten und damit von einem verspäteten Gesuch auszugehen sei. b) Der Gesuchsteller hatte zweifellos seit längerer Zeit Kenntnis davon, dass auch gegen sein Bruder ein Strafverfahren unter anderem wegen Widerhandlung ge- gen das BetmG im unter vorstehender Ziff. 1.1 genannten Sinne geführt wurde; so hatte er beispielsweise in der Einvernahme vom 19. März 2013 in Anwesenheit seines amtlichen Verteidigers Gelegenheit, zu den Aussagen seines Bruders be- züglich des Vorwurfs der Widerhandlung gegen das BetmG Stellung zu nehmen (Urk. 5/2/7 S. 2). Der Gesuchsteller und sein Verteidiger hatten nach Erhalt der vorerwähnten Verfügung des Bezirksgerichts Uster vom 23. April 2013 auch Kenntnis davon, welche Gerichtsbesetzung anlässlich der auf den 24. Oktober 2013 terminierten Hauptverhandlung tagen wird. Die vorgenannte bezirksgerichtliche Verfügung vom 5. September 2013, welcher eine Kopie des Verfahrens-/Verhandlungsprotokolls aus dem Verfahren DG130009 (Staatsanwaltschaft gegen F._____) beigelegt war, wurde per Ein- schreiben unter Beilage eines Empfangsscheins versandt. Der Empfangsschein wurde von Seiten des amtlichen Verteidigers am 10. September 2013 unterzeich- net (Urk. 5/21 Blatt 3). Die Einschreibesendung wurde dem amtlichen Verteidiger allerdings bereits am 6. September 2013 zugestellt, was sich klar aus dem Sen- dungsverfolgungsnachweis ("track &amp; trace" gemäss www.post.ch) ergibt (Urk. 9). Bereits aufgrund eines kurzen Blicks konnte dem nur wenige Seiten umfassenden mitversandten Protokoll entnommen werden, dass anlässlich der den Bruder des Gesuchstellers betreffenden Hauptverhandlung vom 29. August 2013 die gleiche Gerichtsbesetzung getagt hatte, welche auch an der Hauptverhandlung vom 24.</w:t>
      </w:r>
    </w:p>
    <w:p>
      <w:r>
        <w:t>- 6 - Oktober 2013 tagen würde (Urk. 5/22 S. 4). Mit anderen Worten war der in der Faxeingabe vom 23. Oktober 2013 geltend gemachte Ausstandsgrund sofort oh- ne Weiteres nach der am 6. September 2013 erfolgten Zustellung der erwähnten Sendung ersichtlich. Es ist davon auszugehen, dass der amtliche Verteidiger das Protokoll kurz nach der erfolgten Zustellung auch gelesen hatte, führte er doch gegenüber dem Bezirksgericht aus, er habe danach beim Verteidiger von F._____ noch weitere Unterlagen wie die Anklageschrift gegen F._____ und das entspre- chende Urteil eingeholt (Urk. 5/23 S. 1; Urk. 5 Prot. S. 5). Jedenfalls ist ohne Wei- teres anzunehmen, der amtliche Verteidiger habe das Protokoll noch im Septem- ber 2013 gelesen. Er führte denn auch gegenüber dem Bezirksgericht ausdrück- lich aus, er entschuldige sich dafür, dass er das Ausstandsbegehren so spät ge- stellt habe (Urk. 5 Prot. S. 5). Im Übrigen ist zu erwähnen, dass das Bezirksge- richt Uster gegenüber der hiesigen Kammer ausführte, ab dem Zeitpunkt der Zu- stellung des genannten Protokolls habe der amtliche Verteidiger Kenntnis davon gehabt, dass im Verfahren gegen den Gesuchsteller die gleiche Gerichtsbeset- zung wie im Verfahren gegen F._____ vorgesehen gewesen sei, weshalb sich das mehrere Wochen danach gestellte Ausstandsbegehren als verspätet erweise; da von Seiten des Gesuchstellers auf eine Replik verzichtet wurde, blieb diese Rechtsaufassung unbeanstandet. Auf jeden Fall wäre der behauptete Ausstands- grund bei pflichtgemässer Aufmerksamkeit nach der Zustellung des Protokolls er- kennbar gewesen, was die Frist zur Geltendmachung des Ausstandsgrunds aus- löst (Boog, in: Niggli/Heer/Wiprächtiger, Basler Kommentar, Schweizerischen Strafprozessordnung, Basel 2011, Art. 58 N 5 m.H. auf die Rechtsprechung; vgl. auch BGE 1B_277/2008 vom 13. November 2008 Erw.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