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SU250007 vom 24. September 2025</w:t>
      </w:r>
    </w:p>
    <w:p>
      <w:r>
        <w:t>ZH Obergericht, 2025-09-24, DE</w:t>
      </w:r>
    </w:p>
    <w:p>
      <w:r>
        <w:rPr>
          <w:b/>
        </w:rPr>
        <w:t xml:space="preserve">Quelle: </w:t>
      </w:r>
      <w:r>
        <w:t>https://mcp.opencaselaw.ch/entscheid/zh_obergericht_SU250007</w:t>
      </w:r>
    </w:p>
    <w:p>
      <w:r>
        <w:t>FR: ZH_OBERGERICHT SU250007 du 24 septembre 2025</w:t>
      </w:r>
    </w:p>
    <w:p>
      <w:r>
        <w:t>IT: ZH_OBERGERICHT SU250007 del 24 settembre 2025</w:t>
      </w:r>
    </w:p>
    <w:p>
      <w:pPr>
        <w:pStyle w:val="Heading2"/>
      </w:pPr>
      <w:r>
        <w:t>Erwägungen</w:t>
      </w:r>
    </w:p>
    <w:p>
      <w:r>
        <w:rPr>
          <w:b/>
        </w:rPr>
        <w:t>E. 1</w:t>
      </w:r>
    </w:p>
    <w:p>
      <w:r>
        <w:t>Der Beschuldigte wurde mit Urteil des Bezirksgerichts Andelfingen, Einzelgericht Strafsachen, vom 22. Mai 2024 der fahrlässigen einfachen Verlet- zung der Verkehrsregeln im Sinne von Art. 90 Abs. 1 SVG in Verbindung mit Art. 34 Abs. 3 SVG und Art. 44 Abs. 1 SVG schuldig gesprochen und mit einer Busse von Fr. 400.– bestraft (Urk. 25 S. 20).</w:t>
      </w:r>
    </w:p>
    <w:p>
      <w:r>
        <w:t>- 4 - Das vorinstanzliche Urteil wurde dem Beschuldigten anlässlich der Haupt- verhandlung vom 22. Mai 2024 mündlich eröffnet und in unbegründeter Form übergeben (Prot. I S. 12; Urk. 18) und dem Statthalteramt am 16. Juli 2024 in un- begründeter Form zugestellt (Urk. 18A). Mit Eingabe vom 24. Mai 2024 meldete der Beschuldigte fristgerecht die Berufung an (Urk. 19). Das begründete Urteil (Urk. 25) wurde dem Statthalteramt und dem Beschuldigten am 7. Januar 2025 zugestellt (Urk. 24/1-2).</w:t>
      </w:r>
    </w:p>
    <w:p>
      <w:r>
        <w:rPr>
          <w:b/>
        </w:rPr>
        <w:t>E. 2</w:t>
      </w:r>
    </w:p>
    <w:p>
      <w:r>
        <w:t>Mit Eingabe vom 24. Januar 2025 reichte der Beschuldigte fristgerecht die Berufungserklärung ein (Urk. 26). Anschlussberufung wurde nicht erhoben (Urk. 30). Mit Beschluss vom 27. März 2025 wurde das schriftliche Verfahren angeord- net und dem Beschuldigten Frist angesetzt, um die Berufung zu begründen (Urk. 32). Innert erstreckter Frist reichte der Beschuldigte mit Eingabe vom 7. Juli 2025 die Berufungsbegründung ein (Urk. 39). Dem Statthalteramt wurde mit Prä- sidialverfügung vom 9. Juli 2025 Frist zur Berufungsantwort angesetzt und der Vorinstanz die Gelegenheit zur freigestellten Vernehmlassung eingeräumt (Urk. 41). Sowohl das Statthalteramt als auch die Vorinstanz verzichteten auf eine Berufungsantwort bzw. Stellungnahme (Urk. 43 und Urk. 44), was den Parteien mitgeteilt wurde (Urk. 45/1-2). Das Verfahren ist spruchreif.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