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SU220026 vom 14. Juli 2022</w:t>
      </w:r>
    </w:p>
    <w:p>
      <w:r>
        <w:t>ZH Obergericht, 2022-07-14, DE</w:t>
      </w:r>
    </w:p>
    <w:p>
      <w:r>
        <w:rPr>
          <w:b/>
        </w:rPr>
        <w:t xml:space="preserve">Quelle: </w:t>
      </w:r>
      <w:r>
        <w:t>https://mcp.opencaselaw.ch/entscheid/zh_obergericht_SU220026</w:t>
      </w:r>
    </w:p>
    <w:p>
      <w:r>
        <w:t>FR: ZH_OBERGERICHT SU220026 du 14 juillet 2022</w:t>
      </w:r>
    </w:p>
    <w:p>
      <w:r>
        <w:t>IT: ZH_OBERGERICHT SU220026 del 14 luglio 2022</w:t>
      </w:r>
    </w:p>
    <w:p>
      <w:pPr>
        <w:pStyle w:val="Heading2"/>
      </w:pPr>
      <w:r>
        <w:t>Erwägungen</w:t>
      </w:r>
    </w:p>
    <w:p>
      <w:r>
        <w:rPr>
          <w:b/>
        </w:rPr>
        <w:t>E. 2</w:t>
      </w:r>
    </w:p>
    <w:p>
      <w:r>
        <w:t>Gemäss Art. 398 Abs. 1 StPO ist die Berufung zulässig gegen Urteile erst- instanzlicher Gerichte, mit denen das Verfahren ganz oder teilweise abgeschlossen worden ist. Die Berufungsinstanz überprüft den vorinstanzlichen Entscheid bezüglich sämtlicher Tat-, Rechts- und Ermessensfragen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offensichtlich unrichtige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Verletzung von Bundesrecht, in erster Linie von Verfahrensvorschriften der StPO selbst, beruht. Gesamthaft gesehen dürften regelmässig Konstellationen relevant sein, die als willkürliche Sachverhaltserstellung zu qualifizieren sind (vgl. SCHMID/JOSITSCH, StPO Praxiskommentar, 3. Aufl. 2018, Art. 398 N 12 f.; BSK StPO-EUGSTER, 2. Aufl. 2014, Art. 398 N 3a).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(BGE 138 I 305 E. 4.3 mit Hinweisen). Eine vertretbare</w:t>
      </w:r>
    </w:p>
    <w:p>
      <w:r>
        <w:t>- 5 - Beweiswürdigung ist daher auch dann noch nicht willkürlich, wenn die Be- rufungsinstanz anstelle der Vorinstanz allenfalls anders entschieden hätte. Es ist somit zu überprüfen, ob das vorinstanzliche Urteil im Bereich der zulässigen Kognition Fehler aufweist.</w:t>
      </w:r>
    </w:p>
    <w:p>
      <w:r>
        <w:rPr>
          <w:b/>
        </w:rPr>
        <w:t>E. 2.1</w:t>
      </w:r>
    </w:p>
    <w:p>
      <w:r>
        <w:t>Die Gerichtsgebühr für das Berufungsverfahren ist praxisgemäss auf Fr. 1'500.– festzusetzen (Art. 424 Abs. 1 StPO i.V.m. § 16 Abs. 1 und § 14 GebV OG).</w:t>
      </w:r>
    </w:p>
    <w:p>
      <w:r>
        <w:rPr>
          <w:b/>
        </w:rPr>
        <w:t>E. 2.2</w:t>
      </w:r>
    </w:p>
    <w:p>
      <w:r>
        <w:t>Im Rechtsmittelverfahren tragen die Parteien die Kosten nach Massgabe ihres Obsiegens oder Unterliegens (Art. 428 Abs. 1 StPO). Der Beschuldigte unterliegt mit seinen Anträgen vollumfänglich, weshalb die Kosten des Be- rufungsverfahrens ihm aufzuerlegen sind. Bei diesem Ausgang des Verfahrens besteht zudem kein Anspruch auf eine Entschädigung. Es wird erkannt: 1. Der Beschuldigte A._____ ist schuldig der einfachen Verletzung der Verkehrsregeln im Sinne von Art. 90 Abs. 1 SVG i.V.m. Art. 32 Abs. 2 SVG und Art. 4a Abs. 1 lit. b VRV (Überschreiten der zulässigen Höchst- geschwindigkeit). 2. Der Beschuldigte wird bestraft mit einer Busse von Fr. 300.–.</w:t>
      </w:r>
    </w:p>
    <w:p>
      <w:r>
        <w:t>- 9 -</w:t>
      </w:r>
    </w:p>
    <w:p>
      <w:r>
        <w:rPr>
          <w:b/>
        </w:rPr>
        <w:t>E. 3</w:t>
      </w:r>
    </w:p>
    <w:p>
      <w:r>
        <w:t>Bezahlt der Beschuldigte die Busse schuldhaft nicht, so tritt an deren Stelle eine Ersatzfreiheitsstrafe von 3 Tagen.</w:t>
      </w:r>
    </w:p>
    <w:p>
      <w:r>
        <w:rPr>
          <w:b/>
        </w:rPr>
        <w:t>E. 4</w:t>
      </w:r>
    </w:p>
    <w:p>
      <w:r>
        <w:t>Das erstinstanzliche Kostendispositiv (Ziff. 5 und 6) wird bestätigt.</w:t>
      </w:r>
    </w:p>
    <w:p>
      <w:r>
        <w:rPr>
          <w:b/>
        </w:rPr>
        <w:t>E. 5</w:t>
      </w:r>
    </w:p>
    <w:p>
      <w:r>
        <w:t>Die zweitinstanzliche Gerichtsgebühr wird festgesetzt auf Fr. 1'500.–.</w:t>
      </w:r>
    </w:p>
    <w:p>
      <w:r>
        <w:rPr>
          <w:b/>
        </w:rPr>
        <w:t>E. 6</w:t>
      </w:r>
    </w:p>
    <w:p>
      <w:r>
        <w:t>Die Kosten des Berufungsverfahrens werden dem Beschuldigten auferlegt.</w:t>
      </w:r>
    </w:p>
    <w:p>
      <w:r>
        <w:rPr>
          <w:b/>
        </w:rPr>
        <w:t>E. 7</w:t>
      </w:r>
    </w:p>
    <w:p>
      <w:r>
        <w:t>Schriftliche Mitteilung in vollständiger Ausfertigung an − den Beschuldigten − das Statthalteramt Bezirk Bülach − die Oberstaatsanwaltschaft des Kantons Zürich sowie nach Ablauf der Rechtsmittelfrist bzw. Erledigung allfälliger Rechts- mittel an − das Strassenverkehrsamt des Kantons Zürich (PIN: …) −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- 10 - Obergericht des Kantons Zürich I. Strafkammer Zürich, 14. Juli 2022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