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SU220018 vom 8. Februar 2023</w:t>
      </w:r>
    </w:p>
    <w:p>
      <w:r>
        <w:t>ZH Obergericht, 2023-02-08, DE</w:t>
      </w:r>
    </w:p>
    <w:p>
      <w:r>
        <w:rPr>
          <w:b/>
        </w:rPr>
        <w:t xml:space="preserve">Quelle: </w:t>
      </w:r>
      <w:r>
        <w:t>https://mcp.opencaselaw.ch/entscheid/zh_obergericht_SU220018</w:t>
      </w:r>
    </w:p>
    <w:p>
      <w:r>
        <w:t>FR: ZH_OBERGERICHT SU220018 du 8 février 2023</w:t>
      </w:r>
    </w:p>
    <w:p>
      <w:r>
        <w:t>IT: ZH_OBERGERICHT SU220018 del 8 febbraio 2023</w:t>
      </w:r>
    </w:p>
    <w:p>
      <w:pPr>
        <w:pStyle w:val="Heading2"/>
      </w:pPr>
      <w:r>
        <w:t>Erwägungen</w:t>
      </w:r>
    </w:p>
    <w:p>
      <w:r>
        <w:rPr>
          <w:b/>
        </w:rPr>
        <w:t>E. 1</w:t>
      </w:r>
    </w:p>
    <w:p>
      <w:r>
        <w:t>Gegen das eingangs im Dispositiv wiedergegebene, mündlich eröffnete Urteil meldete das Stadtrichteramt Zürich mit Eingabe vom 30. November 2021 fristge- recht Berufung an (Urk. 29). Die Berufungserklärung erfolgte mit Eingabe vom 15. März 2022 nach Erhalt der begründeten Urteilsausfertigung am 7. März 2022 ebenfalls rechtzeitig (Urk. 32/1; Urk. 34). Mit Präsidialverfügung vom 21. März 2022 wurde der Beschuldigten Frist angesetzt, um zu erklären, ob Anschlussberu- fung erhoben oder ein Nichteintreten auf die Berufung des Stadtrichteramts Zürich beantragt werde (Urk. 35). Innert der angesetzten Frist liess sich die Beschuldigte diesbezüglich nicht vernehmen, reichte jedoch fristgerecht das ausgefüllte Daten- erfassungsblatt ein (Urk. 37).</w:t>
      </w:r>
    </w:p>
    <w:p>
      <w:r>
        <w:rPr>
          <w:b/>
        </w:rPr>
        <w:t>E. 2</w:t>
      </w:r>
    </w:p>
    <w:p>
      <w:r>
        <w:t>Bilden ausschliesslich Übertretungen Gegenstand des erstinstanzlichen Hauptverfahrens, so kann mit der Berufung nur geltend gemacht werden, das Ur- teil sei rechtsfehlerhaft oder die Feststellung des Sachverhalts sei offensichtlich unrichtig oder beruhe auf einer Rechtsverletzung. Neue Behauptungen und Be- weise können nicht vorgebracht werden (Art. 398 Abs. 4 StPO).</w:t>
      </w:r>
    </w:p>
    <w:p>
      <w:r>
        <w:rPr>
          <w:b/>
        </w:rPr>
        <w:t>E. 2.1</w:t>
      </w:r>
    </w:p>
    <w:p>
      <w:r>
        <w:t>Zugunsten der Beschuldigten ist hinsichtlich der objektiven Tatschwere zu berücksichtigen, dass die Kundgebung vom tt.mm.2021 gegen die neu eingeführ- te Maskenpflicht in der Primarstufe nicht von langer Dauer war. Es ist zudem da- von auszugehen, dass sie von einer friedlichen Grundhaltung getragen war. Die</w:t>
      </w:r>
    </w:p>
    <w:p>
      <w:r>
        <w:t>- 10 - Teilnehmerzahl mit rund 70 Personen war nicht übermässig gross. Sodann han- delte es sich nicht um einen Demonstrationszug, sondern um eine Kundgebung an einem Ort. Gleichwohl ist davon auszugehen, dass die Kundgebung an der fraglichen Örtlichkeit und zur besagten Tageszeit zu Beeinträchtigungen des pri- vaten und öffentlichen Verkehrs sowie von Fussgängern und Lärmbeeinträchti- gungen geführt hat. Bei der subjektiven Tatschwere ist verschuldensmindernd zu berücksichtigen, dass die Beschuldigte gemäss erstelltem Sachverhalt eventual- vorsätzlich handelte. Das Verschulden wiegt insgesamt leicht.</w:t>
      </w:r>
    </w:p>
    <w:p>
      <w:r>
        <w:rPr>
          <w:b/>
        </w:rPr>
        <w:t>E. 2.2</w:t>
      </w:r>
    </w:p>
    <w:p>
      <w:r>
        <w:t>Über die persönlichen und finanziellen Verhältnissen der Beschuldigten ist be-kannt, dass sie in einem 50%-Pensum im Hotel C._____ in D._____ erwerbs- tätig ist. Dabei erzielt sie ein monatliches Nettoeinkommen von Fr. 1'800.–. Zu- dem erhält sie eine IV-Rente und BVG-Rente von insgesamt Fr. 1'868.– monat- lich. Sie leidet an Parkinson. Der Mietzins ihrer Wohnung beträgt Fr. 1'000.– pro Monat. Hinzu kommen Fr. 389.– an Krankenkassenprämien und ca. Fr. 300.– an Steuern monatlich (Urk. 24; Urk. 37). Unter Berücksichtigung des leichten Ver- schuldens und der eher knappen finanziellen Verhältnisse erweist sich eine Busse von Fr. 125.– als angemessen. 3. Gemäss Art. 106 Abs. 2 StGB ist für den Fall, dass die Busse schuldhaft nicht bezahlt wird, eine Ersatzfreiheitsstrafe auszusprechen. Bei einer Busse im Betrag von Fr. 125.– erscheint es als sachgerecht, eine Ersatzfreiheitsstrafe von 1Tag festzusetzen. V. 1. Da die Vorinstanz die Beschuldigte vollumfänglich freisprach, wurden der Beschuldigten in Anwendung von Art. 426 Abs. 2 StPO keine Verfahrenskosten auferlegt und es wurde auch keine Gerichtsgebühr festgesetzt. Nachdem die Be- schuldigte mit heutigem Urteil teilweise schuldig zu sprechen ist, ist auch über die erstinstanzlichen Verfahrenskosten zu befinden (Art. 426 Abs. 1 StPO; Art. 428 Abs. 3 StPO). Für das erstinstanzliche Verfahren erscheint eine Gerichtsgebühr von Fr. 600.– als angemessen. Die Kosten des Stadtrichteramtes Zürich betragen Fr. 250.– (Kosten Strafbefehl Nr. 2021-010-135) und die nachträglichen Untersu-</w:t>
      </w:r>
    </w:p>
    <w:p>
      <w:r>
        <w:t>- 11 - chungskosten Fr. 500.– (Urk. 22). Es besteht ein einheitlicher Sachverhaltskom- plex und die Strafuntersuchung führte im freizusprechenden Punkt zu keinen Mehrkosten, weshalb es gerechtfertigt erscheint, der Beschuldigten die Kosten der Untersuchung und des gerichtlichen Verfahrens vollumfänglich aufzuerlegen. 2. Im Rechtsmittelverfahren tragen die Parteien die Kosten nach Massgabe ih- res Obsiegens bzw. Unterliegens (Art. 428 Abs. 1 StPO). Das Stadtrichteramt ob- siegt mit seinem Antrag auf Schuldigsprechung der Beschuldigten und die Be- messung der Busse. Bei dieser Ausgangslage sind der Beschuldigten die Kosten für das Berufungsverfahren aufzuerlegen. Es wird beschlossen:</w:t>
      </w:r>
    </w:p>
    <w:p>
      <w:r>
        <w:rPr>
          <w:b/>
        </w:rPr>
        <w:t>E. 3</w:t>
      </w:r>
    </w:p>
    <w:p>
      <w:r>
        <w:t>Es ist unbestritten, dass die Kundgebung am tt.mm.2021 auf dem B._____- platz in Zürich gegen die neu eingeführte Maskenpflicht in der Primarstufe nicht bewilligt war. Ebenso steht fest, dass die Beschuldigte an dieser teilgenommen und sie zumindest in Kauf genommen hat, dass dafür keine Bewilligung vorlag. Mit der Vorinstanz ist deshalb festzuhalten, dass der objektive und subjektive Tatbestand der Teilnahme an einer nicht bewilligten Kundgebung im Sinne von Art. 26 lit. c und Art. 21 Abs. 1 VBöG/ZH in Verbindung mit Art. 26 APV/ZH erfüllt ist (Urk. 33 S. 9). Damit bleibt zu prüfen, ob aufgrund des dazumal geltenden § 7 der V Covid-19/ZH und der daraus resultierenden Aussicht auf einen abschlägi- gen Bewilligungsentscheid der Behörden ein Rechtfertigungsgrund vorlag.</w:t>
      </w:r>
    </w:p>
    <w:p>
      <w:r>
        <w:rPr>
          <w:b/>
        </w:rPr>
        <w:t>E. 3.1</w:t>
      </w:r>
    </w:p>
    <w:p>
      <w:r>
        <w:t>Das Verwaltungsgericht des Kantons Zürich stellte mit Urteil vom 29. April 2021 fest, dass § 7 der V Covid-19/ZH in der Fassung per 1. März 2021 (generel- les Verbot von politischen Kundgebungen mit mehr als 15 Teilnehmenden) zur Er- reichung der damit verfolgten gesundheitspolitischen Zwecke nicht erforderlich und deshalb unverhältnismässig gewesen sei (Geschäfts-Nr. AN.2021.00003, E. 5.3.3.8). Dieses Ergebnis muss auch für die frühere Fassung von § 7 der V Covid-19/ZH gemäss Beschluss vom 8. Dezember 2020 gelten, welche zum Tat- zeitpunkt (tt.mm.2021) in Kraft war. Auch wenn inzwischen von der Verfassungs- widrigkeit der zum Tatzeitpunkt geltenden Fassung von § 7 der V Covid-19/ZH auszugehen ist, gingen die Behörden dannzumal davon aus, dass diese kantona- le Vorschrift anzuwenden war. Daran anknüpfend erwog die Vorinstanz, dass in Anbetracht der damals geltenden V Covid-19/ZH nicht ausgegangen werden kön- ne, dass von den Behörden eine Bewilligung erteilt worden wäre. Die Vorinstanz geht von einem Rechtfertigungsgrund aus, ohne konkret auszuführen, um wel- chen Rechtfertigungsgrund es sich dabei handeln soll (Urk. 33 S. 9).</w:t>
      </w:r>
    </w:p>
    <w:p>
      <w:r>
        <w:rPr>
          <w:b/>
        </w:rPr>
        <w:t>E. 3.2</w:t>
      </w:r>
    </w:p>
    <w:p>
      <w:r>
        <w:t>Gemäss Art. 36 Abs. 1 BV bedürfen Einschränkungen von Grundrechten einer gesetzlichen Grundlage. Schwerwiegende Einschränkungen müssen im Gesetz selbst (d.h. im formellen Gesetz, BGE 145 I 156 E. 4.1; 143 I 253 E. 4.8-</w:t>
      </w:r>
    </w:p>
    <w:p>
      <w:r>
        <w:t>- 7 - 5) vorgesehen sein. Ausgenommen sind Fälle ernster, unmittelbarer und nicht anders abwendbarer Gefahr. Für leichte Eingriffe reicht eine Grundlage im kompetenzgemäss erlassenen Verordnungsrecht (BGE 145 I 156 E. 4.1). Der Vorbehalt des formellen Gesetzes dient der demokratischen Legitimation der Grundrechtseinschränkungen (BGE 143 I 253 E. 6.1).</w:t>
      </w:r>
    </w:p>
    <w:p>
      <w:r>
        <w:rPr>
          <w:b/>
        </w:rPr>
        <w:t>E. 3.3</w:t>
      </w:r>
    </w:p>
    <w:p>
      <w:r>
        <w:t>Kundgebungen auf öffentlichem Grund stellen in der Regel gesteigerten Gemeingebrauch dar, der einer Bewilligungspflicht unterstellt werden darf (BGE 143 I 147 E. 3.2). Die Benutzung des öffentlichen Grundes der Stadt Zürich im Sinne des gesteigerten Gemeingebrauchs ist in Art. 13 APV/ZH geregelt. Ge- stützt darauf hat der Stadtrat eine Verordnung über die Benutzung des öffentli- chen Grundes (VBöG/ZH) erlassen. Demnach unterliegt die nicht bestimmungs- gemässe oder nicht gemeinverträgliche Benutzung des öffentlichen Grundes ei- ner Bewilligungspflicht (Art. 13 Abs. 2 APV/ZH; Art. 2 Abs. 1 VBöG/ZH). Die Be- willigungspflicht gilt insbesondere für politische Umzüge, Mahnwachen und Kundgebungen (Art. 21 Abs. 1 VBöG/ZH). Die Bewilligung wird erteilt, wenn die örtlichen Verhältnisse dies zulassen und der Schutz der Polizeigüter gewährleis- tet ist. Sie kann mit Bedingungen und Auflagen versehen werden (Art. 3 VBöG/ZH). Im Bewilligungsverfahren hat die zuständige Behörde die verschiedenen Interessen, welche durch eine Kundgebung auf öffentlichem Grund tangiert wer- den, nach objektiven Gesichtspunkten gegeneinander abzuwägen und zu ge- wichten. So hat sie einerseits dem ideellen Gehalt der Meinungsäusserungs- und Versammlungsfreiheit Rechnung zu tragen. Andererseits hat sie die gegen eine Kundgebung sprechenden polizeilichen Gründe, die zweckmässige Nutzung des öffentlichen Grundes im Interesse der Allgemeinheit und der Anwohner sowie die mit einer Kundgebung verursachte Beeinträchtigung von Freiheitsrechten unbe- teiligter Dritter mitzuberücksichtigen. Zu entscheiden ist nicht nur über die Zuläs- sigkeit bzw. Unzulässigkeit einer Kundgebung, sondern ebenso sehr über die Randbedingungen, d.h. über allfällige Auflagen, Bedingungen oder Alternativen. Die Veranstalter können daher nicht verlangen, eine Manifestation an einem be- stimmten Ort, zu einem bestimmten Zeitpunkt und unter selbst bestimmten</w:t>
      </w:r>
    </w:p>
    <w:p>
      <w:r>
        <w:t>- 8 - Randbedingungen durchzuführen. Hingegen haben sie Anspruch darauf, dass der von ihnen beabsichtigten Appellwirkung Rechnung getragen wird (BGE 143 I 147 E. 3.2; BGE 132 I 256 E. 3; BGE 127 I 164 E. 3.b).</w:t>
      </w:r>
    </w:p>
    <w:p>
      <w:r>
        <w:rPr>
          <w:b/>
        </w:rPr>
        <w:t>E. 3.4</w:t>
      </w:r>
    </w:p>
    <w:p>
      <w:r>
        <w:t>In Praxis und Lehre werden gewisse (im Strafgesetzbuch nicht ausdrücklich geregelte) "übergesetzliche" Rechtfertigungsgründe anerkannt. Dazu gehören insbesondere das notstandsähnliche Widerstandsrecht bzw. die Wahrung berech- tigter Interessen. Es besteht allerdings die Gefahr, dass unter pauschaler Beru- fung auf schutzbedürftige private oder öffentliche Interessen der strafrechtliche Rechtsgüterschutz ausgehöhlt und unterlaufen werden könnte. Voraussetzung für den Rechtfertigungsgrund der Wahrnehmung berechtigter Interessen ist daher grundsätzlich, dass zuvor der Rechtsweg mit legalen Mitteln beschritten und aus- geschöpft wurde. Im Übrigen muss die inkriminierte Handlung ein zum Erreichen des angestrebten berechtigten Ziels notwendiges und angemessenes Mittel dar- stellen und offenkundig weniger schwer wiegen als die Interessen, die der Täter zu wahren sucht. Dies gilt gerade auch für das Anliegen politischer Aktivisten oder Medienschaffender, vermeintliche Missstände öffentlich zu machen (BGE 129 IV</w:t>
      </w:r>
    </w:p>
    <w:p>
      <w:r>
        <w:rPr>
          <w:b/>
        </w:rPr>
        <w:t>E. 3.5</w:t>
      </w:r>
    </w:p>
    <w:p>
      <w:r>
        <w:t>Dem Stadtrichteramt ist darin zuzustimmen, dass die Organisatoren der in- frage stehenden Kundgebung bei einem gesetzeskonformen Vorgehen bei den zuständigen Behörden um die Bewilligung ihrer Protestaktion hätten ersuchen müssen (Art. 13 Abs. 2 APV/ZH; Art. 2 Abs. 1 und Art. 21 Abs. 1 VBöG/ZH; Urk. 34 S. 3 ff.). Einen abschlägigen Entscheid hätte im Hinblick auf die Durchset- zung der verfassungsrechtlich geschützten Meinungsäusserungs- und Versamm- lungsfreiheit auf dem Rechtsweg mit den entsprechenden Rechtsmitteln ange- fochten werden können. Diesfalls wäre im Rechtsmittelverfahren neben der Über- prüfung der angefochtenen Verfügung auf ihre Recht- und Verhältnismässigkeit auch eine konkrete Normenkontrolle bezüglich § 7 der V Covid-19/ZH möglich gewesen. Hinweise darauf, dass die Veranstalter der Kundgebung vom tt.mm.2021 versucht hätten, für ihre geplante Protestaktion auf dem B._____-platz in Zürich eine Bewilligung einzuholen, bestehen jedoch keine. Vielmehr entschie- den sie sich gegen das vorstehend beschriebene gesetzeskonforme Vorgehen</w:t>
      </w:r>
    </w:p>
    <w:p>
      <w:r>
        <w:t>- 9 - und führten die Kundgebung ohne vorgängiges Bewilligungs- und allfälliges Rechtsmittelverfahren durch. Entsprechend beschritten sie den Rechtsweg zur Wahrung der Meinungsäusserungs- und Versammlungsfreiheit der potentiellen Teilnehmer ihrer Kundgebung weder mit legalen Mitteln noch schöpften sie die- sen aus. Indem die Beschuldigte an der Kundgebung vom tt.mm.2021 teilnahm, obwohl sie wusste oder zumindest mit der Möglichkeit rechnete, dass dafür keine Bewilligung vorlag, unterstützte sie die gesetzeswidrige Vorgehensweise der Ver- anstalter bzw. machte sich diese zu eigen. Ein Rechtfertigungsgrund ist damit nicht gegeben. 4. Nach dem Erwogenen ist die Beschuldigte wegen Teilnahme an einer nicht bewilligten Kundgebung im Sinne von Art. 26 lit. c und Art. 21 Abs. 1 VBöG/ZH in Verbindung mit Art. 26 APV/ZH schuldig zu sprechen. IV. 1. Gemäss Art. 26 APV werden Verletzungen der Bestimmungen dieser Ver- ordnung sowie städtischer Erlasse, die sich auf diese Verordnung stützen, mit Busse bestraft. Die VBöG/ZH wurde gestützt auf Art. 13 APV erlassen, sodass ein Verstoss gegen Art. 26 lit. c sowie Art. 21 Abs. 1 VBöG/ZH mit Busse geahndet wird. Bestimmt es das Gesetz nicht anders, so ist der Höchstbetrag der Busse Fr. 10'000.– (Art. 106 Abs. 1 StGB). Die Busse ist in Abhängigkeit der Verhältnis- se des Täters so zu bemessen, dass sie dem Verschulden angemessen ist (Art. 106 Abs. 3 StGB). 2. Das Stadtrichteramt beantragt die Bestrafung der Beschuldigten mit einer Busse in Höhe von Fr. 200.–. Für den Fall der schuldhaften Nichtbezahlung sei eine Ersatzfreiheitsstrafe von 2 Tagen festzusetzen (Urk. 34 S. 2 und S. 4). Die Beschuldigte liess sich zur beantragten Sanktion nicht vernehmen.</w:t>
      </w:r>
    </w:p>
    <w:p>
      <w:r>
        <w:rPr>
          <w:b/>
        </w:rPr>
        <w:t>E. 6</w:t>
      </w:r>
    </w:p>
    <w:p>
      <w:r>
        <w:t>E. 3.3 mit zahlreichen Hinweisen).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