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SU210004 vom 21. September 2021</w:t>
      </w:r>
    </w:p>
    <w:p>
      <w:r>
        <w:t>ZH Obergericht, 2021-09-21, DE</w:t>
      </w:r>
    </w:p>
    <w:p>
      <w:r>
        <w:rPr>
          <w:b/>
        </w:rPr>
        <w:t xml:space="preserve">Quelle: </w:t>
      </w:r>
      <w:r>
        <w:t>https://mcp.opencaselaw.ch/entscheid/zh_obergericht_SU210004</w:t>
      </w:r>
    </w:p>
    <w:p>
      <w:r>
        <w:t>FR: ZH_OBERGERICHT SU210004 du 21 septembre 2021</w:t>
      </w:r>
    </w:p>
    <w:p>
      <w:r>
        <w:t>IT: ZH_OBERGERICHT SU210004 del 21 settembre 2021</w:t>
      </w:r>
    </w:p>
    <w:p>
      <w:pPr>
        <w:pStyle w:val="Heading2"/>
      </w:pPr>
      <w:r>
        <w:t>Erwägungen</w:t>
      </w:r>
    </w:p>
    <w:p>
      <w:r>
        <w:rPr>
          <w:b/>
        </w:rPr>
        <w:t>E. 1</w:t>
      </w:r>
    </w:p>
    <w:p>
      <w:r>
        <w:t>Dem Beschuldigten wird vorgeworfen, am 11. Juli 2019 am …-Platz in Zürich ein Lichtsignal missachtet zu haben (Urk. 7).</w:t>
      </w:r>
    </w:p>
    <w:p>
      <w:r>
        <w:rPr>
          <w:b/>
        </w:rPr>
        <w:t>E. 2</w:t>
      </w:r>
    </w:p>
    <w:p>
      <w:r>
        <w:t>Festzuhalten gilt es vorab, dass es im vorliegenden Verfahren einzig darum gehen kann, zu prüfen, ob sich der dem Beschuldigten in der Anklage bzw. im Strafbefehl vom 26. November 2019 vorgeworfene Sachverhalt erstellen lässt. Ei- ne allfällige davon abweichende Sachverhaltsvariante wie jene, welche die Vo- rinstanz der Vollständigkeit halber ebenfalls einer rechtlichen Würdigung unterzog (vgl. Urk. 27 S. 14 f.), ist entsprechend nicht von Relevanz.</w:t>
      </w:r>
    </w:p>
    <w:p>
      <w:r>
        <w:rPr>
          <w:b/>
        </w:rPr>
        <w:t>E. 3</w:t>
      </w:r>
    </w:p>
    <w:p>
      <w:r>
        <w:t>Bezahlt der Beschuldigte die Busse schuldhaft nicht, so tritt an deren Stelle eine Ersatzfreiheitsstrafe von 3 Tagen.</w:t>
      </w:r>
    </w:p>
    <w:p>
      <w:r>
        <w:rPr>
          <w:b/>
        </w:rPr>
        <w:t>E. 4</w:t>
      </w:r>
    </w:p>
    <w:p>
      <w:r>
        <w:t>Das erstinstanzliche Kostendispositiv (Ziff. 4, 5 und 6) wird bestätigt.</w:t>
      </w:r>
    </w:p>
    <w:p>
      <w:r>
        <w:rPr>
          <w:b/>
        </w:rPr>
        <w:t>E. 5</w:t>
      </w:r>
    </w:p>
    <w:p>
      <w:r>
        <w:t>Die zweitinstanzliche Gerichtsgebühr wird festgesetzt auf Fr. 1'500.--.</w:t>
      </w:r>
    </w:p>
    <w:p>
      <w:r>
        <w:rPr>
          <w:b/>
        </w:rPr>
        <w:t>E. 6</w:t>
      </w:r>
    </w:p>
    <w:p>
      <w:r>
        <w:t>Die Kosten des Berufungsverfahrens werden dem Beschuldigten auferlegt.</w:t>
      </w:r>
    </w:p>
    <w:p>
      <w:r>
        <w:rPr>
          <w:b/>
        </w:rPr>
        <w:t>E. 7</w:t>
      </w:r>
    </w:p>
    <w:p>
      <w:r>
        <w:t>Schriftliche Mitteilung in vollständiger Ausfertigung an − den Beschuldigten − das Stadtrichteramt Zürich − die Oberstaatsanwaltschaft des Kantons Zürich sowie nach Ablauf der Rechtsmittelfrist bzw. Erledigung allfälliger Rechts- mittel an − die Vorinstanz (unter Rücksendung der Akten).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21. September 2021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