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SU200021 vom 16. März 2021</w:t>
      </w:r>
    </w:p>
    <w:p>
      <w:r>
        <w:t>ZH Obergericht, 2021-03-16, DE</w:t>
      </w:r>
    </w:p>
    <w:p>
      <w:r>
        <w:rPr>
          <w:b/>
        </w:rPr>
        <w:t xml:space="preserve">Quelle: </w:t>
      </w:r>
      <w:r>
        <w:t>https://mcp.opencaselaw.ch/entscheid/zh_obergericht_SU200021</w:t>
      </w:r>
    </w:p>
    <w:p>
      <w:r>
        <w:t>FR: ZH_OBERGERICHT SU200021 du 16 mars 2021</w:t>
      </w:r>
    </w:p>
    <w:p>
      <w:r>
        <w:t>IT: ZH_OBERGERICHT SU200021 del 16 marzo 2021</w:t>
      </w:r>
    </w:p>
    <w:p>
      <w:pPr>
        <w:pStyle w:val="Heading2"/>
      </w:pPr>
      <w:r>
        <w:t>Erwägungen</w:t>
      </w:r>
    </w:p>
    <w:p>
      <w:r>
        <w:rPr>
          <w:b/>
        </w:rPr>
        <w:t>E. 1</w:t>
      </w:r>
    </w:p>
    <w:p>
      <w:r>
        <w:t>Bei einem bundesgerichtlichen Rückweisungsentscheid hat die mit der Neubeurteilung befasste kantonale Instanz die rechtliche Beurteilung, mit welcher die Rückweisung begründet wird, ihrer Entscheidung zugrunde zu legen. Diese Beurteilung bindet auch das Bundesgericht, falls ihm die Sache erneut unter- breitet wird. Aufgrund dieser Bindungswirkung ist es den nochmals mit der Sache befassten Gerichten wie den Parteien verwehrt, der Überprüfung einen anderen als den bisherigen Sachverhalt zu unterstellen oder die Sache unter rechtlichen Gesichtspunkten zu prüfen, die im Rückweisungsentscheid ausdrücklich abge- lehnt oder überhaupt nicht in Erwägung gezogen worden sind (vgl. Entscheide des Bundesgerichtes 6B_1213/2014 vom 7. April 2015, E. 1.1; 6B_116/2013 vom</w:t>
      </w:r>
    </w:p>
    <w:p>
      <w:r>
        <w:t>- 9 - 14. April 2014 E. 1.2; 6B_35/2012 vom 30. März 2012, E. 2.2; je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 richtes Rechnung zu tragen (vgl. Entscheid des Bundesgerichtes 6B_1213/2014 vom 7. April 2015, E. 1.1. mit Hinweisen). Für die Frage, was im neuen kantona- len Entscheid zum Prozessgegenstand gehört, ist nicht das Dispositiv des Bundesgerichtsentscheids massgebend, sondern die materielle Tragweite des entsprechenden Urteils. Es ist danach zu fragen, ob das ursprüngliche kantonale Urteil insgesamt oder nur teilweise aufgehoben werden soll (Entscheid des Bundesgerichts 6B_372/2011 vom 12. Juli 2011, E. 1.3.2). Fest steht indessen, dass der neue kantonale Entscheid für den Beschuldigten zu keinem Nachteil führen darf, zumal einzig der Beschuldigte Strafrechtsbeschwerde erhoben hatte und somit das Verbot der reformatio in peius gemäss Art. 391 Abs. 2 StPO greift.</w:t>
      </w:r>
    </w:p>
    <w:p>
      <w:r>
        <w:rPr>
          <w:b/>
        </w:rPr>
        <w:t>E. 2</w:t>
      </w:r>
    </w:p>
    <w:p>
      <w:r>
        <w:t>Das Bundesgericht hat in seinem Urteil vom 2. Juli 2020 festgehalten, die hiesige Kammer habe in ihrem Entscheid vom 19. Dezember 2019 nicht ausge- führt, inwiefern der Strafmilderungsgrund gemäss Art. 48 lit. e StGB aufgrund des langen Zeitablaufs seit der Tat berücksichtigt worden sei. Dies sei daher im Rahmen einer neuen Strafzumessung nachzuholen (Urk. 86 S. 10). 3.1 Die ESBK stellt sich im zweiten Berufungsverfahren auf den Standpunkt, es sei erneut zu prüfen, ob das ältere SBG (SR 935.52) oder das neuere BGS (SR 935.51) im konkreten Fall das mildere Recht darstelle und zur Anwendung komme. Entsprechend sei auch zu prüfen, nach welchem Gesetz vorliegend der Schuldspruch zu erfolgen habe (Urk. 97 S. 6 ff. und Urk. 108 S. 2 ff.). 3.2 Die diesbezüglichen Ausführungen der ESBK gehen an der Sache vorbei, zumal der Schuldspruch im bundesgerichtlichen Verfahren weder von den Parteien angefochten noch vom Bundesgericht selbst beanstandet wurde und eine Änderung in diesem Punkt entsprechend von vornherein nicht möglich ist.</w:t>
      </w:r>
    </w:p>
    <w:p>
      <w:r>
        <w:t>- 10 - 3.3 Hinzu kommt, dass das Verbot der reformatio in peius (Art. 391 Abs. 2 StPO) vorliegend eine Anwendung des BGS und somit ein Zurückkommen auf den Schuldpunkt ausschliesst. Im Hinblick auf das Verbot der reformatio in peius (Art. 391 Abs. 2 StPO) hat das Bundesgericht ausdrücklich festgehalten, dass eine Verletzung des Verschlechte- rungsverbots entsprechend dem gesetzgeberischen Willen nicht nur bei einer Verschärfung der Sanktion, sondern auch bei einer härteren rechtlichen Qualifika- tion der Tat vorliegt. Dies ist insbesondere der Fall, wenn der neue Straftatbe- stand eine höhere Strafdrohung vorsieht, d. h. einen höheren oberen Strafrahmen oder eine (höhere) Mindeststrafe, sowie bei zusätzlichen Schuldsprüchen (BGE 139 IV 282, E. 2.5). Die vorliegend in Frage kommende Übertretung nach altem Recht (Art. 56 Abs. 1 lit. c SBG) erweist sich gegenüber dem Vergehenstatbestand nach neuem Recht (Art. 130 Abs. 1 BGS) als für den Beschuldigten deutlich günstiger bzw. zu- mindest als rechtlich weniger schwerwiegend (vgl. auch Beschluss des Bundesstrafgerichts vom 16. April 2019, Geschäfts-Nr. BE.2018.19, E. 4.4; Urteil des Obergerichts des Kantons Zürich SU190013 vom 19. Februar 2020, E. IV.3; Urteil des Obergerichts des Kantons Zürich SU190030 vom 19. Mai 2020, E. II.2.4). Diese Schlussfolgerung steht ferner auch im Einklang mit dem vom Gesetzgeber intendierten Zweck der Schärfung der Strafnormen im BGS (Botschaft vom 21. Oktober 2015 zum Geldspielgesetz, BBl 2015, S. 8387-8534, S. 8497). 3.4 Ein Zurückkommen auf den Schuldspruch wegen einer Übertretung gemäss Art. 56 Abs. 1 lit. c SBG und die Verurteilung wegen des Vergehenstatbestands gemäss Art. 130 Abs. 1 BGS ist entsprechend ausgeschlossen, weshalb auf die entsprechenden Ausführungen der ESBK nicht weiter einzugehen ist.</w:t>
      </w:r>
    </w:p>
    <w:p>
      <w:r>
        <w:rPr>
          <w:b/>
        </w:rPr>
        <w:t>E. 4</w:t>
      </w:r>
    </w:p>
    <w:p>
      <w:r>
        <w:t>Da im vorliegenden Verfahren einzig die Strafzumessung neu zu beurteilen ist, erübrigen sich auch weitere Bemerkungen zu den Ausführungen der ESBK hinsichtlich des Tatbestandes von Art. 56 Abs. 1 lit. c SBG (Urk. 97 S. 7 ff.).</w:t>
      </w:r>
    </w:p>
    <w:p>
      <w:r>
        <w:t>- 11 -</w:t>
      </w:r>
    </w:p>
    <w:p>
      <w:r>
        <w:rPr>
          <w:b/>
        </w:rPr>
        <w:t>E. 4.1</w:t>
      </w:r>
    </w:p>
    <w:p>
      <w:r>
        <w:t>Verletzung des Beschleunigungsgebots In Bezug auf die Verletzung des Beschleunigungsgebots (Art. 5 StPO) ist vorab auf die Erwägungen des Bezirksgerichts Dietikon (Urk. 34 S. 16 ff.) sowie jene der Kammer im Urteil vom 19. Dezember 2019 (Urk. 72 S. 15 f.) zu verweisen. Diese</w:t>
      </w:r>
    </w:p>
    <w:p>
      <w:r>
        <w:t>- 12 - Feststellungen wurden im bundesgerichtlichen Beschwerdeverfahren nicht beanstandet und sind weiterhin zutreffend. Aufgrund der Verletzung des Beschleunigungsgebots ist die Einsatzstrafe um Fr. 1'000.-- zu reduzieren.</w:t>
      </w:r>
    </w:p>
    <w:p>
      <w:r>
        <w:rPr>
          <w:b/>
        </w:rPr>
        <w:t>E. 4.2</w:t>
      </w:r>
    </w:p>
    <w:p>
      <w:r>
        <w:t>Vermindertes Strafbedürfnis infolge Zeitablauf (Art. 48 lit. e StGB) Das Bundesgericht hat erwogen, dass die Verletzung des Beschleunigungsgebots (Art. 5 Abs. 1 StPO) und der Zumessungsgrund des verminderten Strafbedürfnis- ses infolge Zeitablaufs (Art. 48 lit. e StGB) auseinanderzuhalten seien. Während es beim Beschleunigungsgebot um die Verfahrensdauer und um das Verhalten der Behörden gehe, welche gehalten seien, ein Strafverfahren innert nützlicher Zeit anhand zu nehmen und voranzutreiben, werde beim Zumessungsgrund von Art. 48 lit. e StGB auf den Zeitablauf seit der Tat abgestellt. Es liege ihm somit der Verjährungsgedanke zugrunde. Wenn die Voraussetzungen beider Bestimmun- gen erfüllt seien, d.h. das Verfahren überlange gedauert habe und die Taten weit zurück lägen, seien sie nebeneinander anzuwenden (Urk. 86 S. 7, E. 2.3.5, m.H.). Hinsichtlich des Zumessungsgrundes des verminderten Strafbedürfnisses hat das Bundesgericht sodann erwogen, das Gericht mildere gemäss Art. 48 lit. e StGB die Strafe, wenn das Strafbedürfnis in Anbetracht der seit der Tat verstrichenen Zeit deutlich vermindert sei und der Täter sich in dieser Zeit wohl verhalten habe. Nach der Rechtsprechung sei dieser Strafmilderungsgrund (bei Wohlverhalten) in jedem Fall zu beachten, wenn zwei Drittel der Verjährungsfrist verstrichen seien. Für die Berechnung sei der Zeitpunkt des Berufungsurteils und damit das Urteils- datum des angefochtenen Entscheids massgebend. Gesetzlich wohlverhalten habe sich, wer keine strafbare Handlung begangen hat. In welchem Mass die Strafe bei Vorliegen dieses Strafmilderungsgrunds zu reduzieren sei, hänge davon ab, wie viel Zeit zum massgebenden Zeitpunkt der Ausfällung des Urteils seit der Tat verstrichen sei (Urk. 86 S. 6, E. 2.3.3, m.H.) Weiter hielt das Bundegericht fest, dass nach seiner Rechtsprechung die Verjäh- rungsfrist für Übertretungen im Sinne des SBG sieben Jahre betrage (vgl. Urteile 6B_286/2018 vom 26. April 2019 E. 3.4.2 und 6B_770/2010 vom 28. Februar 2011 E. 5.2). Zum Zeitpunkt Urteils der Kammer vom 19. Dezember 2019 seien</w:t>
      </w:r>
    </w:p>
    <w:p>
      <w:r>
        <w:t>- 13 - seit der im Zeitraum vom 13. Mai 2013 bis 11. November 2013 verübten Tat über sechs Jahre vergangen. Damit stehe fest, dass zum Zeitpunkt des angefochtenen Urteils bereits mehr als zwei Drittel der siebenjährigen Verjährungsfrist verstrichen waren, womit die Voraussetzung des Ablaufs verhältnismässig langer Zeit seit der Tat erfüllt sei (Urk. 86 S. 8 E. 2.4.2, m.H.). Im aktuellsten Strafregisterauszug ist der Beschuldigte nicht verzeichnet (Urk. 115). Er hat sich demnach seit der im Jahr 2013 verübten Tat seit nunmehr über 7 Jahren nichts zu Schulden kommen lassen. Damit hat er sich gar länger als die Verjährungsfrist wohlverhalten, womit die Grenze, ab welcher der erwähn- te Strafmilderungsgrund gemäss bundesgerichtlicher Rechtsprechung zum Tragen kommt, deutlich überschritten wurde. Es rechtfertigt sich entsprechend eine merkliche Strafreduktion. Die Einsatzstrafe ist aufgrund des Strafmilderungs- grundes gemäss Art. 48 lit. e StGB um weitere Fr. 1'000.-- zu reduzieren. Eine weitergehende Reduktion oder gar ein Absehen von einer Strafe, wie es die Verteidigung beantragt (Urk. 93 S. 2 und 3 und Urk. 101 S. 2 f.), wäre hingegen nicht angemessen, zumal das Verschulden im Quervergleich mit anderen denk- baren Tatvarianten des fraglichen Übertretungstatbestands nicht geradezu ver- nachlässigbar erscheint (vgl. dazu TRECHSEL/KELLER, in: Praxiskommentar StGB, 3. Auflage 2018, N 2 zu Art. 52 StGB). Gleichzeitig fällt aufgrund des Verbots der reformatio in peius (Art. 391 Abs. 2 StPO) die von der ESBK im Eventualstand- punkt beantragte Erhöhung der Busse auf Fr. 13'000.-- von vornherein ausser Betracht (vgl. Urk. 97 S. 4).</w:t>
      </w:r>
    </w:p>
    <w:p>
      <w:r>
        <w:rPr>
          <w:b/>
        </w:rPr>
        <w:t>E. 5</w:t>
      </w:r>
    </w:p>
    <w:p>
      <w:r>
        <w:t>(…)</w:t>
      </w:r>
    </w:p>
    <w:p>
      <w:r>
        <w:rPr>
          <w:b/>
        </w:rPr>
        <w:t>E. 6</w:t>
      </w:r>
    </w:p>
    <w:p>
      <w:r>
        <w:t>(Mitteilungen)</w:t>
      </w:r>
    </w:p>
    <w:p>
      <w:r>
        <w:rPr>
          <w:b/>
        </w:rPr>
        <w:t>E. 7</w:t>
      </w:r>
    </w:p>
    <w:p>
      <w:r>
        <w:t>(Rechtsmittel) 2. Schriftliche Mitteilung mit dem nachfolgenden Urteil. Es wird erkannt: 1. Der Beschuldigte ist schuldig der Übertretung des Spielbankengesetzes im Sinne von Art. 56 Abs. 1 lit. c SBG. 2. Der Beschuldigte wird mit einer Busse von Fr. 5'000.– bestraft. 3. Die Busse ist zu bezahlen. 4. Die mit Verfügung der Eidgenössischen Spielbankenkommission vom</w:t>
      </w:r>
    </w:p>
    <w:p>
      <w:r>
        <w:rPr>
          <w:b/>
        </w:rPr>
        <w:t>E. 11</w:t>
      </w:r>
    </w:p>
    <w:p>
      <w:r>
        <w:t>Schriftliche Mitteilung in vollständiger Ausfertigung an − die erbetene Verteidigung im Doppel für sich und zuhanden des Beschuldigten − die Eidgenössische Spielbankenkommission − die Oberstaatsanwaltschaft des Kantons Zürich sowie nach Ablauf der Rechtsmittelfrist bzw. Erledigung allfälliger Rechts- mittel an − die Vorinstanz − die Eidgenössische Spielbankenkommission mit Rechtskraftstempel − das Migrationsamt des Kantons Zürich</w:t>
      </w:r>
    </w:p>
    <w:p>
      <w:r>
        <w:t>- 17 -</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März 2021 Der Präsident: Der Gerichtsschreiber: lic. iur. S. Volken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